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harts/chart4.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CB" w:rsidRPr="00111F99" w:rsidRDefault="00111F99">
      <w:pPr>
        <w:rPr>
          <w:rFonts w:ascii="Arial" w:hAnsi="Arial" w:cs="Arial"/>
          <w:b/>
          <w:sz w:val="28"/>
          <w:szCs w:val="28"/>
        </w:rPr>
      </w:pPr>
      <w:r w:rsidRPr="00111F99">
        <w:rPr>
          <w:rFonts w:ascii="Arial" w:hAnsi="Arial" w:cs="Arial"/>
          <w:b/>
          <w:sz w:val="28"/>
          <w:szCs w:val="28"/>
        </w:rPr>
        <w:t>Konjunkturoversigt</w:t>
      </w:r>
      <w:r w:rsidR="006262FD">
        <w:rPr>
          <w:rFonts w:ascii="Arial" w:hAnsi="Arial" w:cs="Arial"/>
          <w:b/>
          <w:sz w:val="28"/>
          <w:szCs w:val="28"/>
        </w:rPr>
        <w:t>, januar 2010</w:t>
      </w:r>
    </w:p>
    <w:p w:rsidR="00111F99" w:rsidRDefault="00111F99">
      <w:pPr>
        <w:rPr>
          <w:rFonts w:ascii="Arial" w:hAnsi="Arial" w:cs="Arial"/>
          <w:sz w:val="24"/>
          <w:szCs w:val="24"/>
        </w:rPr>
      </w:pPr>
    </w:p>
    <w:p w:rsidR="00E50A2C" w:rsidRDefault="00E50A2C">
      <w:pPr>
        <w:rPr>
          <w:rFonts w:ascii="Arial" w:hAnsi="Arial" w:cs="Arial"/>
          <w:sz w:val="24"/>
          <w:szCs w:val="24"/>
        </w:rPr>
      </w:pPr>
    </w:p>
    <w:p w:rsidR="00111F99" w:rsidRPr="00E50A2C" w:rsidRDefault="00E50A2C">
      <w:pPr>
        <w:rPr>
          <w:rFonts w:ascii="Arial" w:hAnsi="Arial" w:cs="Arial"/>
          <w:b/>
          <w:sz w:val="24"/>
          <w:szCs w:val="24"/>
        </w:rPr>
      </w:pPr>
      <w:r w:rsidRPr="00E50A2C">
        <w:rPr>
          <w:rFonts w:ascii="Arial" w:hAnsi="Arial" w:cs="Arial"/>
          <w:b/>
          <w:sz w:val="24"/>
          <w:szCs w:val="24"/>
        </w:rPr>
        <w:t>Ledigheden i byggeriet</w:t>
      </w:r>
    </w:p>
    <w:p w:rsidR="00111F99" w:rsidRPr="00111F99" w:rsidRDefault="005928CC">
      <w:pPr>
        <w:rPr>
          <w:rFonts w:ascii="Arial" w:hAnsi="Arial" w:cs="Arial"/>
          <w:sz w:val="24"/>
          <w:szCs w:val="24"/>
        </w:rPr>
      </w:pPr>
      <w:r>
        <w:rPr>
          <w:rFonts w:ascii="Arial" w:hAnsi="Arial" w:cs="Arial"/>
          <w:sz w:val="24"/>
          <w:szCs w:val="24"/>
        </w:rPr>
        <w:t>2009 var et særdeles dårligt år for beskæftigelsen i byggeriet. Som det fremgår af nedenstående graf, så nåede ledi</w:t>
      </w:r>
      <w:r w:rsidR="00E50A2C">
        <w:rPr>
          <w:rFonts w:ascii="Arial" w:hAnsi="Arial" w:cs="Arial"/>
          <w:sz w:val="24"/>
          <w:szCs w:val="24"/>
        </w:rPr>
        <w:t>gheden i byggeriet rekordhøjder</w:t>
      </w:r>
      <w:r w:rsidR="00D87C8E">
        <w:rPr>
          <w:rFonts w:ascii="Arial" w:hAnsi="Arial" w:cs="Arial"/>
          <w:sz w:val="24"/>
          <w:szCs w:val="24"/>
        </w:rPr>
        <w:t>.</w:t>
      </w:r>
    </w:p>
    <w:p w:rsidR="00111F99" w:rsidRPr="00111F99" w:rsidRDefault="00111F99">
      <w:pPr>
        <w:rPr>
          <w:rFonts w:ascii="Arial" w:hAnsi="Arial" w:cs="Arial"/>
          <w:sz w:val="24"/>
          <w:szCs w:val="24"/>
        </w:rPr>
      </w:pPr>
    </w:p>
    <w:p w:rsidR="00111F99" w:rsidRPr="00111F99" w:rsidRDefault="00111F99" w:rsidP="00111F99">
      <w:pPr>
        <w:rPr>
          <w:rFonts w:ascii="Arial" w:hAnsi="Arial" w:cs="Arial"/>
          <w:sz w:val="24"/>
          <w:szCs w:val="24"/>
        </w:rPr>
      </w:pPr>
      <w:r w:rsidRPr="00111F99">
        <w:rPr>
          <w:rFonts w:ascii="Arial" w:hAnsi="Arial" w:cs="Arial"/>
          <w:b/>
          <w:bCs/>
          <w:sz w:val="24"/>
          <w:szCs w:val="24"/>
        </w:rPr>
        <w:t>Ledighed</w:t>
      </w:r>
      <w:r w:rsidR="00D133A0">
        <w:rPr>
          <w:rFonts w:ascii="Arial" w:hAnsi="Arial" w:cs="Arial"/>
          <w:b/>
          <w:bCs/>
          <w:sz w:val="24"/>
          <w:szCs w:val="24"/>
        </w:rPr>
        <w:t>en</w:t>
      </w:r>
      <w:r w:rsidRPr="00111F99">
        <w:rPr>
          <w:rFonts w:ascii="Arial" w:hAnsi="Arial" w:cs="Arial"/>
          <w:b/>
          <w:bCs/>
          <w:sz w:val="24"/>
          <w:szCs w:val="24"/>
        </w:rPr>
        <w:t xml:space="preserve"> i BAT-kartellets forbund 2005-2009</w:t>
      </w:r>
    </w:p>
    <w:p w:rsidR="00111F99" w:rsidRDefault="00111F99">
      <w:r w:rsidRPr="00111F99">
        <w:rPr>
          <w:noProof/>
          <w:lang w:eastAsia="da-DK"/>
        </w:rPr>
        <w:drawing>
          <wp:inline distT="0" distB="0" distL="0" distR="0">
            <wp:extent cx="6276975" cy="455295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1F99" w:rsidRPr="00365589" w:rsidRDefault="00111F99">
      <w:pPr>
        <w:rPr>
          <w:rFonts w:ascii="Arial" w:hAnsi="Arial" w:cs="Arial"/>
          <w:sz w:val="24"/>
          <w:szCs w:val="24"/>
        </w:rPr>
      </w:pPr>
    </w:p>
    <w:p w:rsidR="00B40F1B" w:rsidRDefault="00D87C8E">
      <w:pPr>
        <w:rPr>
          <w:rFonts w:ascii="Arial" w:hAnsi="Arial" w:cs="Arial"/>
          <w:sz w:val="24"/>
          <w:szCs w:val="24"/>
        </w:rPr>
      </w:pPr>
      <w:r>
        <w:rPr>
          <w:rFonts w:ascii="Arial" w:hAnsi="Arial" w:cs="Arial"/>
          <w:sz w:val="24"/>
          <w:szCs w:val="24"/>
        </w:rPr>
        <w:t>Ledigheden ramte alle brancher i byggeriet og ledigheden blev</w:t>
      </w:r>
      <w:r w:rsidR="00B40F1B">
        <w:rPr>
          <w:rFonts w:ascii="Arial" w:hAnsi="Arial" w:cs="Arial"/>
          <w:sz w:val="24"/>
          <w:szCs w:val="24"/>
        </w:rPr>
        <w:t xml:space="preserve"> stort set fordoblet i alle fag i 2009 sammenlignet med 2008, nogle fag blev endda meget hårdere ramt</w:t>
      </w:r>
    </w:p>
    <w:p w:rsidR="00B40F1B" w:rsidRDefault="00B40F1B">
      <w:pPr>
        <w:rPr>
          <w:rFonts w:ascii="Arial" w:hAnsi="Arial" w:cs="Arial"/>
          <w:sz w:val="24"/>
          <w:szCs w:val="24"/>
        </w:rPr>
      </w:pPr>
    </w:p>
    <w:p w:rsidR="00111F99" w:rsidRDefault="00B40F1B">
      <w:pPr>
        <w:rPr>
          <w:rFonts w:ascii="Arial" w:hAnsi="Arial" w:cs="Arial"/>
          <w:sz w:val="24"/>
          <w:szCs w:val="24"/>
        </w:rPr>
      </w:pPr>
      <w:r>
        <w:rPr>
          <w:rFonts w:ascii="Arial" w:hAnsi="Arial" w:cs="Arial"/>
          <w:sz w:val="24"/>
          <w:szCs w:val="24"/>
        </w:rPr>
        <w:t xml:space="preserve">Hårdest ramt blev murere, anlægsarbejdere og tømrere, men også </w:t>
      </w:r>
      <w:proofErr w:type="spellStart"/>
      <w:r>
        <w:rPr>
          <w:rFonts w:ascii="Arial" w:hAnsi="Arial" w:cs="Arial"/>
          <w:sz w:val="24"/>
          <w:szCs w:val="24"/>
        </w:rPr>
        <w:t>installationsfagene</w:t>
      </w:r>
      <w:proofErr w:type="spellEnd"/>
      <w:r>
        <w:rPr>
          <w:rFonts w:ascii="Arial" w:hAnsi="Arial" w:cs="Arial"/>
          <w:sz w:val="24"/>
          <w:szCs w:val="24"/>
        </w:rPr>
        <w:t xml:space="preserve"> som historisk har haft en lav ledighed, oplevede stærkt stigende ledighed.</w:t>
      </w:r>
    </w:p>
    <w:p w:rsidR="00D87C8E" w:rsidRDefault="00D87C8E">
      <w:pPr>
        <w:rPr>
          <w:rFonts w:ascii="Arial" w:hAnsi="Arial" w:cs="Arial"/>
          <w:sz w:val="24"/>
          <w:szCs w:val="24"/>
        </w:rPr>
      </w:pPr>
    </w:p>
    <w:p w:rsidR="00B40F1B" w:rsidRDefault="00D87C8E">
      <w:pPr>
        <w:rPr>
          <w:rFonts w:ascii="Arial" w:hAnsi="Arial" w:cs="Arial"/>
          <w:sz w:val="24"/>
          <w:szCs w:val="24"/>
        </w:rPr>
      </w:pPr>
      <w:r>
        <w:rPr>
          <w:rFonts w:ascii="Arial" w:hAnsi="Arial" w:cs="Arial"/>
          <w:sz w:val="24"/>
          <w:szCs w:val="24"/>
        </w:rPr>
        <w:t>Der har som bekendt altid været sæsonledighed i byggeriet trods en stor indsats for at fremme totalinddækning og vinterbyggeri.</w:t>
      </w:r>
    </w:p>
    <w:p w:rsidR="00B40F1B" w:rsidRDefault="00B40F1B">
      <w:pPr>
        <w:rPr>
          <w:rFonts w:ascii="Arial" w:hAnsi="Arial" w:cs="Arial"/>
          <w:sz w:val="24"/>
          <w:szCs w:val="24"/>
        </w:rPr>
      </w:pPr>
    </w:p>
    <w:p w:rsidR="00365589" w:rsidRDefault="00D87C8E">
      <w:pPr>
        <w:rPr>
          <w:rFonts w:ascii="Arial" w:hAnsi="Arial" w:cs="Arial"/>
          <w:sz w:val="24"/>
          <w:szCs w:val="24"/>
        </w:rPr>
      </w:pPr>
      <w:r>
        <w:rPr>
          <w:rFonts w:ascii="Arial" w:hAnsi="Arial" w:cs="Arial"/>
          <w:sz w:val="24"/>
          <w:szCs w:val="24"/>
        </w:rPr>
        <w:t>Forskellen på 2009 i forhold til tidligere år er, at her holdt ledigheden sig på et højt niveau stort set hele året. Der var kun mindre fald i ledigheden i et 2-3 måneder midt på året.</w:t>
      </w:r>
    </w:p>
    <w:p w:rsidR="00D87C8E" w:rsidRDefault="00D87C8E">
      <w:pPr>
        <w:rPr>
          <w:rFonts w:ascii="Arial" w:hAnsi="Arial" w:cs="Arial"/>
          <w:sz w:val="24"/>
          <w:szCs w:val="24"/>
        </w:rPr>
      </w:pPr>
    </w:p>
    <w:p w:rsidR="00D87C8E" w:rsidRDefault="00D87C8E">
      <w:pPr>
        <w:rPr>
          <w:rFonts w:ascii="Arial" w:hAnsi="Arial" w:cs="Arial"/>
          <w:sz w:val="24"/>
          <w:szCs w:val="24"/>
        </w:rPr>
      </w:pPr>
      <w:r>
        <w:rPr>
          <w:rFonts w:ascii="Arial" w:hAnsi="Arial" w:cs="Arial"/>
          <w:sz w:val="24"/>
          <w:szCs w:val="24"/>
        </w:rPr>
        <w:lastRenderedPageBreak/>
        <w:t xml:space="preserve">Som det fremgår af nedenstående figur, så faldt ledigheden ned under </w:t>
      </w:r>
      <w:proofErr w:type="gramStart"/>
      <w:r>
        <w:rPr>
          <w:rFonts w:ascii="Arial" w:hAnsi="Arial" w:cs="Arial"/>
          <w:sz w:val="24"/>
          <w:szCs w:val="24"/>
        </w:rPr>
        <w:t>6%</w:t>
      </w:r>
      <w:proofErr w:type="gramEnd"/>
      <w:r>
        <w:rPr>
          <w:rFonts w:ascii="Arial" w:hAnsi="Arial" w:cs="Arial"/>
          <w:sz w:val="24"/>
          <w:szCs w:val="24"/>
        </w:rPr>
        <w:t xml:space="preserve"> om sommeren i både 2003 og 2004 fra en ledighed om vinteren på 13-14%. I disse år med høj sæsonarbejdsløshed sås bratte fald og stigninger i ledigheden mellem sommer og vinter.</w:t>
      </w:r>
    </w:p>
    <w:p w:rsidR="00D87C8E" w:rsidRDefault="00D87C8E">
      <w:pPr>
        <w:rPr>
          <w:rFonts w:ascii="Arial" w:hAnsi="Arial" w:cs="Arial"/>
          <w:sz w:val="24"/>
          <w:szCs w:val="24"/>
        </w:rPr>
      </w:pPr>
    </w:p>
    <w:p w:rsidR="00365589" w:rsidRDefault="00D87C8E">
      <w:pPr>
        <w:rPr>
          <w:rFonts w:ascii="Arial" w:hAnsi="Arial" w:cs="Arial"/>
          <w:sz w:val="24"/>
          <w:szCs w:val="24"/>
        </w:rPr>
      </w:pPr>
      <w:r>
        <w:rPr>
          <w:rFonts w:ascii="Arial" w:hAnsi="Arial" w:cs="Arial"/>
          <w:sz w:val="24"/>
          <w:szCs w:val="24"/>
        </w:rPr>
        <w:t>I 2009 faldt ledigheden kun gradvist fra en høj sæsonledighed og den nåede aldrig ned under 8,</w:t>
      </w:r>
      <w:proofErr w:type="gramStart"/>
      <w:r>
        <w:rPr>
          <w:rFonts w:ascii="Arial" w:hAnsi="Arial" w:cs="Arial"/>
          <w:sz w:val="24"/>
          <w:szCs w:val="24"/>
        </w:rPr>
        <w:t>3%</w:t>
      </w:r>
      <w:proofErr w:type="gramEnd"/>
      <w:r>
        <w:rPr>
          <w:rFonts w:ascii="Arial" w:hAnsi="Arial" w:cs="Arial"/>
          <w:sz w:val="24"/>
          <w:szCs w:val="24"/>
        </w:rPr>
        <w:t>. Tilsvarende steg ledigheden hurtigt igen.</w:t>
      </w:r>
    </w:p>
    <w:p w:rsidR="00365589" w:rsidRDefault="00365589">
      <w:pPr>
        <w:rPr>
          <w:rFonts w:ascii="Arial" w:hAnsi="Arial" w:cs="Arial"/>
          <w:sz w:val="24"/>
          <w:szCs w:val="24"/>
        </w:rPr>
      </w:pPr>
    </w:p>
    <w:p w:rsidR="00365589" w:rsidRPr="00365589" w:rsidRDefault="00365589" w:rsidP="00365589">
      <w:pPr>
        <w:rPr>
          <w:rFonts w:ascii="Arial" w:hAnsi="Arial" w:cs="Arial"/>
          <w:sz w:val="24"/>
          <w:szCs w:val="24"/>
        </w:rPr>
      </w:pPr>
      <w:r w:rsidRPr="00365589">
        <w:rPr>
          <w:rFonts w:ascii="Arial" w:hAnsi="Arial" w:cs="Arial"/>
          <w:b/>
          <w:bCs/>
          <w:sz w:val="24"/>
          <w:szCs w:val="24"/>
        </w:rPr>
        <w:t>Byggeriets ledighedsprocent ulige uger 2003 - 2009</w:t>
      </w:r>
    </w:p>
    <w:p w:rsidR="00D812D0" w:rsidRDefault="00D812D0">
      <w:pPr>
        <w:rPr>
          <w:rFonts w:ascii="Arial" w:hAnsi="Arial" w:cs="Arial"/>
          <w:sz w:val="24"/>
          <w:szCs w:val="24"/>
        </w:rPr>
      </w:pPr>
      <w:r w:rsidRPr="00365589">
        <w:rPr>
          <w:rFonts w:ascii="Arial" w:hAnsi="Arial" w:cs="Arial"/>
          <w:noProof/>
          <w:sz w:val="24"/>
          <w:szCs w:val="24"/>
          <w:lang w:eastAsia="da-DK"/>
        </w:rPr>
        <w:drawing>
          <wp:inline distT="0" distB="0" distL="0" distR="0">
            <wp:extent cx="6120130" cy="3507443"/>
            <wp:effectExtent l="0" t="0" r="0" b="0"/>
            <wp:docPr id="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12D0" w:rsidRDefault="00D812D0">
      <w:pPr>
        <w:rPr>
          <w:rFonts w:ascii="Arial" w:hAnsi="Arial" w:cs="Arial"/>
          <w:sz w:val="24"/>
          <w:szCs w:val="24"/>
        </w:rPr>
      </w:pPr>
    </w:p>
    <w:p w:rsidR="000A72B8" w:rsidRDefault="000A72B8">
      <w:pPr>
        <w:rPr>
          <w:rFonts w:ascii="Arial" w:hAnsi="Arial" w:cs="Arial"/>
          <w:sz w:val="24"/>
          <w:szCs w:val="24"/>
        </w:rPr>
      </w:pPr>
    </w:p>
    <w:p w:rsidR="00B40F1B" w:rsidRPr="00B40F1B" w:rsidRDefault="00B40F1B">
      <w:pPr>
        <w:rPr>
          <w:rFonts w:ascii="Arial" w:hAnsi="Arial" w:cs="Arial"/>
          <w:b/>
          <w:sz w:val="24"/>
          <w:szCs w:val="24"/>
        </w:rPr>
      </w:pPr>
      <w:r w:rsidRPr="00B40F1B">
        <w:rPr>
          <w:rFonts w:ascii="Arial" w:hAnsi="Arial" w:cs="Arial"/>
          <w:b/>
          <w:sz w:val="24"/>
          <w:szCs w:val="24"/>
        </w:rPr>
        <w:t>Byggeriets sammensatte konjunkturindikator</w:t>
      </w:r>
    </w:p>
    <w:p w:rsidR="00365589" w:rsidRDefault="00B40F1B">
      <w:pPr>
        <w:rPr>
          <w:rFonts w:ascii="Arial" w:hAnsi="Arial" w:cs="Arial"/>
          <w:sz w:val="24"/>
          <w:szCs w:val="24"/>
        </w:rPr>
      </w:pPr>
      <w:r>
        <w:rPr>
          <w:rFonts w:ascii="Arial" w:hAnsi="Arial" w:cs="Arial"/>
          <w:sz w:val="24"/>
          <w:szCs w:val="24"/>
        </w:rPr>
        <w:t>Danmarks Statistik offentliggør hver måned byggeriets sammensatte konjunkturindikator.</w:t>
      </w:r>
      <w:r w:rsidR="002F67D3">
        <w:rPr>
          <w:rFonts w:ascii="Arial" w:hAnsi="Arial" w:cs="Arial"/>
          <w:sz w:val="24"/>
          <w:szCs w:val="24"/>
        </w:rPr>
        <w:t xml:space="preserve"> I december 2009 lå den på -40, en lille stigning fra november 2009, hvor den lå på -42. I december 2008 var konjunkturindikatoren -36.</w:t>
      </w:r>
    </w:p>
    <w:p w:rsidR="00D11CFB" w:rsidRDefault="00D11CFB">
      <w:pPr>
        <w:rPr>
          <w:rFonts w:ascii="Arial" w:hAnsi="Arial" w:cs="Arial"/>
          <w:sz w:val="24"/>
          <w:szCs w:val="24"/>
        </w:rPr>
      </w:pPr>
    </w:p>
    <w:p w:rsidR="002F67D3" w:rsidRDefault="00B40F1B">
      <w:pPr>
        <w:rPr>
          <w:rFonts w:ascii="Arial" w:hAnsi="Arial" w:cs="Arial"/>
          <w:sz w:val="24"/>
          <w:szCs w:val="24"/>
        </w:rPr>
      </w:pPr>
      <w:r>
        <w:rPr>
          <w:rFonts w:ascii="Arial" w:hAnsi="Arial" w:cs="Arial"/>
          <w:sz w:val="24"/>
          <w:szCs w:val="24"/>
        </w:rPr>
        <w:t>Konjunkturindikatoren er en sammenvejning af byggeriets forventninger til beskæftigelsen de kommende tre måneder og en vurdering af ordrebeholdningen ved udgangen af den foregående måned.</w:t>
      </w:r>
      <w:r w:rsidR="002F67D3">
        <w:rPr>
          <w:rFonts w:ascii="Arial" w:hAnsi="Arial" w:cs="Arial"/>
          <w:sz w:val="24"/>
          <w:szCs w:val="24"/>
        </w:rPr>
        <w:t xml:space="preserve"> Endvidere er konjunkturindikatoren sæsonkorrigeret, så der er taget højde for sæsonens lavere aktivitet.</w:t>
      </w:r>
    </w:p>
    <w:p w:rsidR="00B40F1B" w:rsidRDefault="00B40F1B">
      <w:pPr>
        <w:rPr>
          <w:rFonts w:ascii="Arial" w:hAnsi="Arial" w:cs="Arial"/>
          <w:sz w:val="24"/>
          <w:szCs w:val="24"/>
        </w:rPr>
      </w:pPr>
    </w:p>
    <w:p w:rsidR="00B40F1B" w:rsidRDefault="00B40F1B">
      <w:pPr>
        <w:rPr>
          <w:rFonts w:ascii="Arial" w:hAnsi="Arial" w:cs="Arial"/>
          <w:sz w:val="24"/>
          <w:szCs w:val="24"/>
        </w:rPr>
      </w:pPr>
      <w:r>
        <w:rPr>
          <w:rFonts w:ascii="Arial" w:hAnsi="Arial" w:cs="Arial"/>
          <w:sz w:val="24"/>
          <w:szCs w:val="24"/>
        </w:rPr>
        <w:t xml:space="preserve">I nedenstående graf er den sammensatte konjunkturindikator splittet op på byggeriets forventninger til beskæftigelsen og ordrebeholdningen. Heraf fremgår det, at </w:t>
      </w:r>
      <w:r w:rsidR="002F67D3">
        <w:rPr>
          <w:rFonts w:ascii="Arial" w:hAnsi="Arial" w:cs="Arial"/>
          <w:sz w:val="24"/>
          <w:szCs w:val="24"/>
        </w:rPr>
        <w:t>forventningerne til beskæftigelsen ligger højere end forventningerne til ordrebeholdningen. Fra et lavpunkt i februar 2009 er forventningerne til beskæftigelsen så småt ved at gå den rigtige ved, om end der er lang vej endnu.</w:t>
      </w:r>
    </w:p>
    <w:p w:rsidR="002F67D3" w:rsidRDefault="002F67D3">
      <w:pPr>
        <w:rPr>
          <w:rFonts w:ascii="Arial" w:hAnsi="Arial" w:cs="Arial"/>
          <w:sz w:val="24"/>
          <w:szCs w:val="24"/>
        </w:rPr>
      </w:pPr>
    </w:p>
    <w:p w:rsidR="002F67D3" w:rsidRDefault="00EB0FD4">
      <w:pPr>
        <w:rPr>
          <w:rFonts w:ascii="Arial" w:hAnsi="Arial" w:cs="Arial"/>
          <w:sz w:val="24"/>
          <w:szCs w:val="24"/>
        </w:rPr>
      </w:pPr>
      <w:r>
        <w:rPr>
          <w:rFonts w:ascii="Arial" w:hAnsi="Arial" w:cs="Arial"/>
          <w:sz w:val="24"/>
          <w:szCs w:val="24"/>
        </w:rPr>
        <w:t>Forventningerne til ordrebeholdningen vendte først i september 2009.</w:t>
      </w:r>
    </w:p>
    <w:p w:rsidR="00D11CFB" w:rsidRDefault="00D11CFB">
      <w:pPr>
        <w:rPr>
          <w:rFonts w:ascii="Arial" w:hAnsi="Arial" w:cs="Arial"/>
          <w:sz w:val="24"/>
          <w:szCs w:val="24"/>
        </w:rPr>
      </w:pPr>
    </w:p>
    <w:p w:rsidR="002F67D3" w:rsidRDefault="002F67D3">
      <w:pPr>
        <w:rPr>
          <w:rFonts w:ascii="Arial" w:hAnsi="Arial" w:cs="Arial"/>
          <w:b/>
          <w:sz w:val="24"/>
          <w:szCs w:val="24"/>
        </w:rPr>
      </w:pPr>
      <w:r>
        <w:rPr>
          <w:rFonts w:ascii="Arial" w:hAnsi="Arial" w:cs="Arial"/>
          <w:b/>
          <w:sz w:val="24"/>
          <w:szCs w:val="24"/>
        </w:rPr>
        <w:lastRenderedPageBreak/>
        <w:t>Byggeriets konjunkturindikator, sæsonkorrigeret</w:t>
      </w:r>
    </w:p>
    <w:p w:rsidR="00EB0FD4" w:rsidRDefault="00EB0FD4">
      <w:pPr>
        <w:rPr>
          <w:rFonts w:ascii="Arial" w:hAnsi="Arial" w:cs="Arial"/>
          <w:sz w:val="24"/>
          <w:szCs w:val="24"/>
        </w:rPr>
      </w:pPr>
    </w:p>
    <w:p w:rsidR="00EB0FD4" w:rsidRDefault="00EB0FD4">
      <w:pPr>
        <w:rPr>
          <w:rFonts w:ascii="Arial" w:hAnsi="Arial" w:cs="Arial"/>
          <w:sz w:val="24"/>
          <w:szCs w:val="24"/>
        </w:rPr>
      </w:pPr>
      <w:r w:rsidRPr="00B139AC">
        <w:rPr>
          <w:rFonts w:ascii="Arial" w:hAnsi="Arial" w:cs="Arial"/>
          <w:noProof/>
          <w:sz w:val="24"/>
          <w:szCs w:val="24"/>
          <w:lang w:eastAsia="da-DK"/>
        </w:rPr>
        <w:drawing>
          <wp:inline distT="0" distB="0" distL="0" distR="0">
            <wp:extent cx="6120130" cy="3536934"/>
            <wp:effectExtent l="0" t="0" r="0"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0FD4" w:rsidRDefault="00EB0FD4">
      <w:pPr>
        <w:rPr>
          <w:rFonts w:ascii="Arial" w:hAnsi="Arial" w:cs="Arial"/>
          <w:sz w:val="24"/>
          <w:szCs w:val="24"/>
        </w:rPr>
      </w:pPr>
    </w:p>
    <w:p w:rsidR="00EB0FD4" w:rsidRDefault="00EB0FD4">
      <w:pPr>
        <w:rPr>
          <w:rFonts w:ascii="Arial" w:hAnsi="Arial" w:cs="Arial"/>
          <w:sz w:val="24"/>
          <w:szCs w:val="24"/>
        </w:rPr>
      </w:pPr>
    </w:p>
    <w:p w:rsidR="00290E6D" w:rsidRDefault="00290E6D">
      <w:pPr>
        <w:rPr>
          <w:rFonts w:ascii="Arial" w:hAnsi="Arial" w:cs="Arial"/>
          <w:sz w:val="24"/>
          <w:szCs w:val="24"/>
        </w:rPr>
      </w:pPr>
      <w:r>
        <w:rPr>
          <w:rFonts w:ascii="Arial" w:hAnsi="Arial" w:cs="Arial"/>
          <w:sz w:val="24"/>
          <w:szCs w:val="24"/>
        </w:rPr>
        <w:t xml:space="preserve">På baggrund af det dårlige udgangspunkt for </w:t>
      </w:r>
      <w:r w:rsidR="00462948">
        <w:rPr>
          <w:rFonts w:ascii="Arial" w:hAnsi="Arial" w:cs="Arial"/>
          <w:sz w:val="24"/>
          <w:szCs w:val="24"/>
        </w:rPr>
        <w:t xml:space="preserve">beskæftigelsen i byggeriet i 2010, så er det </w:t>
      </w:r>
      <w:proofErr w:type="spellStart"/>
      <w:r w:rsidR="00462948">
        <w:rPr>
          <w:rFonts w:ascii="Arial" w:hAnsi="Arial" w:cs="Arial"/>
          <w:sz w:val="24"/>
          <w:szCs w:val="24"/>
        </w:rPr>
        <w:t>BAT’s</w:t>
      </w:r>
      <w:proofErr w:type="spellEnd"/>
      <w:r w:rsidR="00462948">
        <w:rPr>
          <w:rFonts w:ascii="Arial" w:hAnsi="Arial" w:cs="Arial"/>
          <w:sz w:val="24"/>
          <w:szCs w:val="24"/>
        </w:rPr>
        <w:t xml:space="preserve"> vurdering, at vi skal gennem 2010 og et stykke ind i 2011 før vi ser en normalisering af beskæftigelsen.</w:t>
      </w:r>
    </w:p>
    <w:p w:rsidR="00462948" w:rsidRDefault="00462948">
      <w:pPr>
        <w:rPr>
          <w:rFonts w:ascii="Arial" w:hAnsi="Arial" w:cs="Arial"/>
          <w:sz w:val="24"/>
          <w:szCs w:val="24"/>
        </w:rPr>
      </w:pPr>
    </w:p>
    <w:p w:rsidR="00462948" w:rsidRDefault="00462948">
      <w:pPr>
        <w:rPr>
          <w:rFonts w:ascii="Arial" w:hAnsi="Arial" w:cs="Arial"/>
          <w:sz w:val="24"/>
          <w:szCs w:val="24"/>
        </w:rPr>
      </w:pPr>
      <w:r>
        <w:rPr>
          <w:rFonts w:ascii="Arial" w:hAnsi="Arial" w:cs="Arial"/>
          <w:sz w:val="24"/>
          <w:szCs w:val="24"/>
        </w:rPr>
        <w:t>BAT har i mange tilfælde været fortaler for målrettede investeringer i bygninger og infrastruktur, men det har vist sig ualmindelig svært at komme igennem til regeringen. I 2010 er det primært kommunerne, der vil stå for aktiviteten i branchen. Der er fortsat mange institutioner, plejehjem, skole m.m. der har alvorlig brug for renovering ligesom de misligholdte veje er blevet i endnu værre stand efter en periode med frost.</w:t>
      </w:r>
    </w:p>
    <w:p w:rsidR="00462948" w:rsidRDefault="00462948">
      <w:pPr>
        <w:rPr>
          <w:rFonts w:ascii="Arial" w:hAnsi="Arial" w:cs="Arial"/>
          <w:sz w:val="24"/>
          <w:szCs w:val="24"/>
        </w:rPr>
      </w:pPr>
    </w:p>
    <w:p w:rsidR="00462948" w:rsidRDefault="00462948">
      <w:pPr>
        <w:rPr>
          <w:rFonts w:ascii="Arial" w:hAnsi="Arial" w:cs="Arial"/>
          <w:sz w:val="24"/>
          <w:szCs w:val="24"/>
        </w:rPr>
      </w:pPr>
      <w:r>
        <w:rPr>
          <w:rFonts w:ascii="Arial" w:hAnsi="Arial" w:cs="Arial"/>
          <w:sz w:val="24"/>
          <w:szCs w:val="24"/>
        </w:rPr>
        <w:t xml:space="preserve">Disse områder har typisk ikke været populære prioriteter for en kommunalbestyrelse, men det ser ud til, at bygningernes stand har nået et så lavt niveau, </w:t>
      </w:r>
      <w:proofErr w:type="gramStart"/>
      <w:r>
        <w:rPr>
          <w:rFonts w:ascii="Arial" w:hAnsi="Arial" w:cs="Arial"/>
          <w:sz w:val="24"/>
          <w:szCs w:val="24"/>
        </w:rPr>
        <w:t>at</w:t>
      </w:r>
      <w:proofErr w:type="gramEnd"/>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begynder borgerne at se det og være utilfredse med det. Forhåbentlig er det nok til at sætte gang i de kommunale investeringer.</w:t>
      </w:r>
    </w:p>
    <w:p w:rsidR="00462948" w:rsidRDefault="00462948">
      <w:pPr>
        <w:rPr>
          <w:rFonts w:ascii="Arial" w:hAnsi="Arial" w:cs="Arial"/>
          <w:sz w:val="24"/>
          <w:szCs w:val="24"/>
        </w:rPr>
      </w:pPr>
    </w:p>
    <w:p w:rsidR="00462948" w:rsidRDefault="00462948">
      <w:pPr>
        <w:rPr>
          <w:rFonts w:ascii="Arial" w:hAnsi="Arial" w:cs="Arial"/>
          <w:sz w:val="24"/>
          <w:szCs w:val="24"/>
        </w:rPr>
      </w:pPr>
      <w:r>
        <w:rPr>
          <w:rFonts w:ascii="Arial" w:hAnsi="Arial" w:cs="Arial"/>
          <w:sz w:val="24"/>
          <w:szCs w:val="24"/>
        </w:rPr>
        <w:t>Regionale investeringer i sygehusbyggeri er et andet område, hvor vi kan forvente en vis aktivitet i 2010 om end først hen mod 2. halvår.</w:t>
      </w:r>
    </w:p>
    <w:p w:rsidR="00462948" w:rsidRDefault="00462948">
      <w:pPr>
        <w:rPr>
          <w:rFonts w:ascii="Arial" w:hAnsi="Arial" w:cs="Arial"/>
          <w:sz w:val="24"/>
          <w:szCs w:val="24"/>
        </w:rPr>
      </w:pPr>
    </w:p>
    <w:p w:rsidR="00D11CFB" w:rsidRDefault="00462948">
      <w:pPr>
        <w:rPr>
          <w:rFonts w:ascii="Arial" w:hAnsi="Arial" w:cs="Arial"/>
          <w:sz w:val="24"/>
          <w:szCs w:val="24"/>
        </w:rPr>
      </w:pPr>
      <w:r>
        <w:rPr>
          <w:rFonts w:ascii="Arial" w:hAnsi="Arial" w:cs="Arial"/>
          <w:sz w:val="24"/>
          <w:szCs w:val="24"/>
        </w:rPr>
        <w:t>BAT vil fortsat sætte fokus på nødvendigheden af øgede og målrettede investeringer i bygninger og infrastruktur og forhåbentlig bliver 2010 også året, hvor flere boligejere får øjnene op for energirenovering af deres bolig, til gavn for de små og mellemstore håndværksvirksomheder.</w:t>
      </w:r>
    </w:p>
    <w:p w:rsidR="005C5A07" w:rsidRDefault="005C5A07">
      <w:pPr>
        <w:rPr>
          <w:rFonts w:ascii="Arial" w:hAnsi="Arial" w:cs="Arial"/>
          <w:sz w:val="24"/>
          <w:szCs w:val="24"/>
        </w:rPr>
      </w:pPr>
    </w:p>
    <w:p w:rsidR="005C5A07" w:rsidRDefault="005C5A07">
      <w:pPr>
        <w:rPr>
          <w:rFonts w:ascii="Arial" w:hAnsi="Arial" w:cs="Arial"/>
          <w:sz w:val="24"/>
          <w:szCs w:val="24"/>
        </w:rPr>
      </w:pPr>
    </w:p>
    <w:p w:rsidR="005C5A07" w:rsidRPr="000D7FA8" w:rsidRDefault="000D7FA8">
      <w:pPr>
        <w:rPr>
          <w:rFonts w:ascii="Arial" w:hAnsi="Arial" w:cs="Arial"/>
          <w:b/>
          <w:sz w:val="24"/>
          <w:szCs w:val="24"/>
        </w:rPr>
      </w:pPr>
      <w:r w:rsidRPr="000D7FA8">
        <w:rPr>
          <w:rFonts w:ascii="Arial" w:hAnsi="Arial" w:cs="Arial"/>
          <w:b/>
          <w:sz w:val="24"/>
          <w:szCs w:val="24"/>
        </w:rPr>
        <w:lastRenderedPageBreak/>
        <w:t>Lønudviklingen i bygge</w:t>
      </w:r>
      <w:r>
        <w:rPr>
          <w:rFonts w:ascii="Arial" w:hAnsi="Arial" w:cs="Arial"/>
          <w:b/>
          <w:sz w:val="24"/>
          <w:szCs w:val="24"/>
        </w:rPr>
        <w:t>- og anlægsbranchen</w:t>
      </w:r>
    </w:p>
    <w:p w:rsidR="000D7FA8" w:rsidRDefault="000D7FA8">
      <w:pPr>
        <w:rPr>
          <w:rFonts w:ascii="Arial" w:hAnsi="Arial" w:cs="Arial"/>
          <w:sz w:val="24"/>
          <w:szCs w:val="24"/>
        </w:rPr>
      </w:pPr>
      <w:r>
        <w:rPr>
          <w:rFonts w:ascii="Arial" w:hAnsi="Arial" w:cs="Arial"/>
          <w:sz w:val="24"/>
          <w:szCs w:val="24"/>
        </w:rPr>
        <w:t>Af nedenstående graf ses det, at lønudviklingen for arbejdere i bygge og anlæg er faldet siden 1. kvartal 2008 med små undtagelser. Det kraftigste fald er set fra 1. kvartal til 3. kvartal 2009. Faldet betyder, at der nu er reallønstilbagegang for arbejdere i byggeriet. Med undtagelse af 3. kvartal 2008, hvor der også var reallønsnedgang i en kort periode, så er det første gang siden 2003.</w:t>
      </w:r>
    </w:p>
    <w:p w:rsidR="000D7FA8" w:rsidRDefault="000D7FA8">
      <w:pPr>
        <w:rPr>
          <w:rFonts w:ascii="Arial" w:hAnsi="Arial" w:cs="Arial"/>
          <w:sz w:val="24"/>
          <w:szCs w:val="24"/>
        </w:rPr>
      </w:pPr>
    </w:p>
    <w:p w:rsidR="000D7FA8" w:rsidRDefault="000D7FA8">
      <w:pPr>
        <w:rPr>
          <w:rFonts w:ascii="Arial" w:hAnsi="Arial" w:cs="Arial"/>
          <w:sz w:val="24"/>
          <w:szCs w:val="24"/>
        </w:rPr>
      </w:pPr>
      <w:r>
        <w:rPr>
          <w:rFonts w:ascii="Arial" w:hAnsi="Arial" w:cs="Arial"/>
          <w:sz w:val="24"/>
          <w:szCs w:val="24"/>
        </w:rPr>
        <w:t>Hvor lønudviklingen er vendt i 3. kvartal 2009 for arbejdere i både service og fremstilling, så er faldet fortsat for arbejdere i bygge og anlæg.</w:t>
      </w:r>
    </w:p>
    <w:p w:rsidR="000D7FA8" w:rsidRDefault="000D7FA8">
      <w:pPr>
        <w:rPr>
          <w:rFonts w:ascii="Arial" w:hAnsi="Arial" w:cs="Arial"/>
          <w:sz w:val="24"/>
          <w:szCs w:val="24"/>
        </w:rPr>
      </w:pPr>
    </w:p>
    <w:p w:rsidR="005C5A07" w:rsidRPr="005C5A07" w:rsidRDefault="005C5A07" w:rsidP="005C5A07">
      <w:pPr>
        <w:rPr>
          <w:rFonts w:ascii="Arial" w:hAnsi="Arial" w:cs="Arial"/>
          <w:sz w:val="24"/>
          <w:szCs w:val="24"/>
        </w:rPr>
      </w:pPr>
      <w:r w:rsidRPr="005C5A07">
        <w:rPr>
          <w:rFonts w:ascii="Arial" w:hAnsi="Arial" w:cs="Arial"/>
          <w:b/>
          <w:bCs/>
          <w:sz w:val="24"/>
          <w:szCs w:val="24"/>
        </w:rPr>
        <w:t>Sammenhæng mellem inflation og arbejderløn 2002</w:t>
      </w:r>
      <w:r>
        <w:rPr>
          <w:rFonts w:ascii="Arial" w:hAnsi="Arial" w:cs="Arial"/>
          <w:b/>
          <w:bCs/>
          <w:sz w:val="24"/>
          <w:szCs w:val="24"/>
        </w:rPr>
        <w:t xml:space="preserve"> </w:t>
      </w:r>
      <w:r w:rsidRPr="005C5A07">
        <w:rPr>
          <w:rFonts w:ascii="Arial" w:hAnsi="Arial" w:cs="Arial"/>
          <w:b/>
          <w:bCs/>
          <w:sz w:val="24"/>
          <w:szCs w:val="24"/>
        </w:rPr>
        <w:t>-</w:t>
      </w:r>
      <w:r>
        <w:rPr>
          <w:rFonts w:ascii="Arial" w:hAnsi="Arial" w:cs="Arial"/>
          <w:b/>
          <w:bCs/>
          <w:sz w:val="24"/>
          <w:szCs w:val="24"/>
        </w:rPr>
        <w:t xml:space="preserve"> 3. kvartal </w:t>
      </w:r>
      <w:r w:rsidRPr="005C5A07">
        <w:rPr>
          <w:rFonts w:ascii="Arial" w:hAnsi="Arial" w:cs="Arial"/>
          <w:b/>
          <w:bCs/>
          <w:sz w:val="24"/>
          <w:szCs w:val="24"/>
        </w:rPr>
        <w:t>2009</w:t>
      </w:r>
    </w:p>
    <w:p w:rsidR="005C5A07" w:rsidRDefault="005C5A07">
      <w:pPr>
        <w:rPr>
          <w:rFonts w:ascii="Arial" w:hAnsi="Arial" w:cs="Arial"/>
          <w:sz w:val="24"/>
          <w:szCs w:val="24"/>
        </w:rPr>
      </w:pPr>
      <w:r w:rsidRPr="005C5A07">
        <w:rPr>
          <w:rFonts w:ascii="Arial" w:hAnsi="Arial" w:cs="Arial"/>
          <w:noProof/>
          <w:sz w:val="24"/>
          <w:szCs w:val="24"/>
          <w:lang w:eastAsia="da-DK"/>
        </w:rPr>
        <w:drawing>
          <wp:inline distT="0" distB="0" distL="0" distR="0">
            <wp:extent cx="6705600" cy="3743325"/>
            <wp:effectExtent l="0" t="0" r="0" b="0"/>
            <wp:docPr id="5"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5A07" w:rsidRDefault="005C5A07">
      <w:pPr>
        <w:rPr>
          <w:rFonts w:ascii="Arial" w:hAnsi="Arial" w:cs="Arial"/>
          <w:sz w:val="24"/>
          <w:szCs w:val="24"/>
        </w:rPr>
      </w:pPr>
    </w:p>
    <w:p w:rsidR="005C5A07" w:rsidRPr="00BB59DE" w:rsidRDefault="00BB59DE">
      <w:pPr>
        <w:rPr>
          <w:rFonts w:ascii="Arial" w:hAnsi="Arial" w:cs="Arial"/>
          <w:b/>
          <w:sz w:val="24"/>
          <w:szCs w:val="24"/>
        </w:rPr>
      </w:pPr>
      <w:r w:rsidRPr="00BB59DE">
        <w:rPr>
          <w:rFonts w:ascii="Arial" w:hAnsi="Arial" w:cs="Arial"/>
          <w:b/>
          <w:sz w:val="24"/>
          <w:szCs w:val="24"/>
        </w:rPr>
        <w:t>Beskæftigelsen inden for byggeriet</w:t>
      </w:r>
    </w:p>
    <w:p w:rsidR="000A72B8" w:rsidRDefault="00BB59DE" w:rsidP="000A72B8">
      <w:pPr>
        <w:rPr>
          <w:rFonts w:ascii="Arial" w:hAnsi="Arial" w:cs="Arial"/>
          <w:color w:val="000000"/>
          <w:sz w:val="24"/>
          <w:szCs w:val="24"/>
        </w:rPr>
      </w:pPr>
      <w:r w:rsidRPr="00BB59DE">
        <w:rPr>
          <w:rFonts w:ascii="Arial" w:hAnsi="Arial" w:cs="Arial"/>
          <w:color w:val="000000"/>
          <w:sz w:val="24"/>
          <w:szCs w:val="24"/>
        </w:rPr>
        <w:t>Beskæftigelsen inden for bygge- og anlægssektoren nåe</w:t>
      </w:r>
      <w:r>
        <w:rPr>
          <w:rFonts w:ascii="Arial" w:hAnsi="Arial" w:cs="Arial"/>
          <w:color w:val="000000"/>
          <w:sz w:val="24"/>
          <w:szCs w:val="24"/>
        </w:rPr>
        <w:t>de</w:t>
      </w:r>
      <w:r w:rsidRPr="00BB59DE">
        <w:rPr>
          <w:rFonts w:ascii="Arial" w:hAnsi="Arial" w:cs="Arial"/>
          <w:color w:val="000000"/>
          <w:sz w:val="24"/>
          <w:szCs w:val="24"/>
        </w:rPr>
        <w:t xml:space="preserve"> et nyt lavpunkt</w:t>
      </w:r>
      <w:r>
        <w:rPr>
          <w:rFonts w:ascii="Arial" w:hAnsi="Arial" w:cs="Arial"/>
          <w:color w:val="000000"/>
          <w:sz w:val="24"/>
          <w:szCs w:val="24"/>
        </w:rPr>
        <w:t xml:space="preserve"> i </w:t>
      </w:r>
      <w:r w:rsidR="000A72B8">
        <w:rPr>
          <w:rFonts w:ascii="Arial" w:hAnsi="Arial" w:cs="Arial"/>
          <w:color w:val="000000"/>
          <w:sz w:val="24"/>
          <w:szCs w:val="24"/>
        </w:rPr>
        <w:t>4</w:t>
      </w:r>
      <w:r>
        <w:rPr>
          <w:rFonts w:ascii="Arial" w:hAnsi="Arial" w:cs="Arial"/>
          <w:color w:val="000000"/>
          <w:sz w:val="24"/>
          <w:szCs w:val="24"/>
        </w:rPr>
        <w:t>. kvartal 2009</w:t>
      </w:r>
      <w:r w:rsidRPr="00BB59DE">
        <w:rPr>
          <w:rFonts w:ascii="Arial" w:hAnsi="Arial" w:cs="Arial"/>
          <w:color w:val="000000"/>
          <w:sz w:val="24"/>
          <w:szCs w:val="24"/>
        </w:rPr>
        <w:t xml:space="preserve">. </w:t>
      </w:r>
      <w:r w:rsidR="000A72B8">
        <w:rPr>
          <w:rFonts w:ascii="Arial" w:hAnsi="Arial" w:cs="Arial"/>
          <w:color w:val="000000"/>
          <w:sz w:val="24"/>
          <w:szCs w:val="24"/>
        </w:rPr>
        <w:t xml:space="preserve">Som det fremgår af grafen nedenfor, var den </w:t>
      </w:r>
      <w:r w:rsidRPr="00BB59DE">
        <w:rPr>
          <w:rFonts w:ascii="Arial" w:hAnsi="Arial" w:cs="Arial"/>
          <w:color w:val="000000"/>
          <w:sz w:val="24"/>
          <w:szCs w:val="24"/>
        </w:rPr>
        <w:t xml:space="preserve">samlede beskæftigelse nede på 134.600 personer, hvilket er det laveste niveau, siden </w:t>
      </w:r>
      <w:r>
        <w:rPr>
          <w:rFonts w:ascii="Arial" w:hAnsi="Arial" w:cs="Arial"/>
          <w:color w:val="000000"/>
          <w:sz w:val="24"/>
          <w:szCs w:val="24"/>
        </w:rPr>
        <w:t xml:space="preserve">Danmarks Statistik begyndte at offentliggøre </w:t>
      </w:r>
      <w:r w:rsidRPr="00BB59DE">
        <w:rPr>
          <w:rFonts w:ascii="Arial" w:hAnsi="Arial" w:cs="Arial"/>
          <w:color w:val="000000"/>
          <w:sz w:val="24"/>
          <w:szCs w:val="24"/>
        </w:rPr>
        <w:t>statistik</w:t>
      </w:r>
      <w:r>
        <w:rPr>
          <w:rFonts w:ascii="Arial" w:hAnsi="Arial" w:cs="Arial"/>
          <w:color w:val="000000"/>
          <w:sz w:val="24"/>
          <w:szCs w:val="24"/>
        </w:rPr>
        <w:t xml:space="preserve"> på området</w:t>
      </w:r>
      <w:r w:rsidRPr="00BB59DE">
        <w:rPr>
          <w:rFonts w:ascii="Arial" w:hAnsi="Arial" w:cs="Arial"/>
          <w:color w:val="000000"/>
          <w:sz w:val="24"/>
          <w:szCs w:val="24"/>
        </w:rPr>
        <w:t xml:space="preserve"> i år 2000.</w:t>
      </w:r>
    </w:p>
    <w:p w:rsidR="000A72B8" w:rsidRDefault="000A72B8" w:rsidP="000A72B8">
      <w:pPr>
        <w:rPr>
          <w:rFonts w:ascii="Arial" w:hAnsi="Arial" w:cs="Arial"/>
          <w:color w:val="000000"/>
          <w:sz w:val="24"/>
          <w:szCs w:val="24"/>
        </w:rPr>
      </w:pPr>
    </w:p>
    <w:p w:rsidR="00BB59DE" w:rsidRPr="00BB59DE" w:rsidRDefault="00BB59DE" w:rsidP="000A72B8">
      <w:pPr>
        <w:rPr>
          <w:rFonts w:ascii="Arial" w:hAnsi="Arial" w:cs="Arial"/>
          <w:color w:val="000000"/>
          <w:sz w:val="24"/>
          <w:szCs w:val="24"/>
        </w:rPr>
      </w:pPr>
      <w:r w:rsidRPr="00BB59DE">
        <w:rPr>
          <w:rFonts w:ascii="Arial" w:hAnsi="Arial" w:cs="Arial"/>
          <w:color w:val="000000"/>
          <w:sz w:val="24"/>
          <w:szCs w:val="24"/>
        </w:rPr>
        <w:t xml:space="preserve">Beskæftigelsen faldt således med </w:t>
      </w:r>
      <w:proofErr w:type="gramStart"/>
      <w:r w:rsidRPr="00BB59DE">
        <w:rPr>
          <w:rFonts w:ascii="Arial" w:hAnsi="Arial" w:cs="Arial"/>
          <w:color w:val="000000"/>
          <w:sz w:val="24"/>
          <w:szCs w:val="24"/>
        </w:rPr>
        <w:t>7</w:t>
      </w:r>
      <w:r w:rsidR="000A72B8">
        <w:rPr>
          <w:rFonts w:ascii="Arial" w:hAnsi="Arial" w:cs="Arial"/>
          <w:color w:val="000000"/>
          <w:sz w:val="24"/>
          <w:szCs w:val="24"/>
        </w:rPr>
        <w:t>%</w:t>
      </w:r>
      <w:proofErr w:type="gramEnd"/>
      <w:r w:rsidRPr="00BB59DE">
        <w:rPr>
          <w:rFonts w:ascii="Arial" w:hAnsi="Arial" w:cs="Arial"/>
          <w:color w:val="000000"/>
          <w:sz w:val="24"/>
          <w:szCs w:val="24"/>
        </w:rPr>
        <w:t xml:space="preserve"> svarende til 10.200 personer, fra </w:t>
      </w:r>
      <w:r w:rsidR="000A72B8">
        <w:rPr>
          <w:rFonts w:ascii="Arial" w:hAnsi="Arial" w:cs="Arial"/>
          <w:color w:val="000000"/>
          <w:sz w:val="24"/>
          <w:szCs w:val="24"/>
        </w:rPr>
        <w:t xml:space="preserve">3. </w:t>
      </w:r>
      <w:r w:rsidRPr="00BB59DE">
        <w:rPr>
          <w:rFonts w:ascii="Arial" w:hAnsi="Arial" w:cs="Arial"/>
          <w:color w:val="000000"/>
          <w:sz w:val="24"/>
          <w:szCs w:val="24"/>
        </w:rPr>
        <w:t xml:space="preserve">kvartal til </w:t>
      </w:r>
      <w:r w:rsidR="000A72B8">
        <w:rPr>
          <w:rFonts w:ascii="Arial" w:hAnsi="Arial" w:cs="Arial"/>
          <w:color w:val="000000"/>
          <w:sz w:val="24"/>
          <w:szCs w:val="24"/>
        </w:rPr>
        <w:t>4.</w:t>
      </w:r>
      <w:r w:rsidRPr="00BB59DE">
        <w:rPr>
          <w:rFonts w:ascii="Arial" w:hAnsi="Arial" w:cs="Arial"/>
          <w:color w:val="000000"/>
          <w:sz w:val="24"/>
          <w:szCs w:val="24"/>
        </w:rPr>
        <w:t xml:space="preserve"> kvartal, når der tages højde for sæsonudsving.</w:t>
      </w:r>
    </w:p>
    <w:p w:rsidR="00BB59DE" w:rsidRPr="00BB59DE" w:rsidRDefault="00BB59DE" w:rsidP="000A72B8">
      <w:pPr>
        <w:rPr>
          <w:rFonts w:ascii="Arial" w:hAnsi="Arial" w:cs="Arial"/>
          <w:color w:val="000000"/>
          <w:sz w:val="24"/>
          <w:szCs w:val="24"/>
        </w:rPr>
      </w:pPr>
    </w:p>
    <w:p w:rsidR="00BB59DE" w:rsidRDefault="000A72B8" w:rsidP="000A72B8">
      <w:pPr>
        <w:autoSpaceDE w:val="0"/>
        <w:autoSpaceDN w:val="0"/>
        <w:adjustRightInd w:val="0"/>
        <w:rPr>
          <w:rFonts w:ascii="Arial" w:hAnsi="Arial" w:cs="Arial"/>
          <w:color w:val="000000"/>
          <w:sz w:val="24"/>
          <w:szCs w:val="24"/>
        </w:rPr>
      </w:pPr>
      <w:r>
        <w:rPr>
          <w:rFonts w:ascii="Arial" w:hAnsi="Arial" w:cs="Arial"/>
          <w:color w:val="000000"/>
          <w:sz w:val="24"/>
          <w:szCs w:val="24"/>
        </w:rPr>
        <w:t>Fra 3. til 4. kvartal var d</w:t>
      </w:r>
      <w:r w:rsidR="00BB59DE" w:rsidRPr="00BB59DE">
        <w:rPr>
          <w:rFonts w:ascii="Arial" w:hAnsi="Arial" w:cs="Arial"/>
          <w:color w:val="000000"/>
          <w:sz w:val="24"/>
          <w:szCs w:val="24"/>
        </w:rPr>
        <w:t>er fald i beskæftigelsen i alle ni brancher, der indgår i statistikk</w:t>
      </w:r>
      <w:r>
        <w:rPr>
          <w:rFonts w:ascii="Arial" w:hAnsi="Arial" w:cs="Arial"/>
          <w:color w:val="000000"/>
          <w:sz w:val="24"/>
          <w:szCs w:val="24"/>
        </w:rPr>
        <w:t>en</w:t>
      </w:r>
      <w:r w:rsidR="00BB59DE" w:rsidRPr="00BB59DE">
        <w:rPr>
          <w:rFonts w:ascii="Arial" w:hAnsi="Arial" w:cs="Arial"/>
          <w:color w:val="000000"/>
          <w:sz w:val="24"/>
          <w:szCs w:val="24"/>
        </w:rPr>
        <w:t>. Med et fald på 23,</w:t>
      </w:r>
      <w:proofErr w:type="gramStart"/>
      <w:r w:rsidR="00BB59DE" w:rsidRPr="00BB59DE">
        <w:rPr>
          <w:rFonts w:ascii="Arial" w:hAnsi="Arial" w:cs="Arial"/>
          <w:color w:val="000000"/>
          <w:sz w:val="24"/>
          <w:szCs w:val="24"/>
        </w:rPr>
        <w:t>3</w:t>
      </w:r>
      <w:r>
        <w:rPr>
          <w:rFonts w:ascii="Arial" w:hAnsi="Arial" w:cs="Arial"/>
          <w:color w:val="000000"/>
          <w:sz w:val="24"/>
          <w:szCs w:val="24"/>
        </w:rPr>
        <w:t>%</w:t>
      </w:r>
      <w:proofErr w:type="gramEnd"/>
      <w:r w:rsidR="00BB59DE" w:rsidRPr="00BB59DE">
        <w:rPr>
          <w:rFonts w:ascii="Arial" w:hAnsi="Arial" w:cs="Arial"/>
          <w:color w:val="000000"/>
          <w:sz w:val="24"/>
          <w:szCs w:val="24"/>
        </w:rPr>
        <w:t xml:space="preserve"> i beskæftigelsen er branchen </w:t>
      </w:r>
      <w:r w:rsidR="00BB59DE" w:rsidRPr="00BB59DE">
        <w:rPr>
          <w:rFonts w:ascii="Arial" w:hAnsi="Arial" w:cs="Arial"/>
          <w:i/>
          <w:iCs/>
          <w:color w:val="000000"/>
          <w:sz w:val="24"/>
          <w:szCs w:val="24"/>
        </w:rPr>
        <w:t xml:space="preserve">anlægsentreprenører </w:t>
      </w:r>
      <w:r w:rsidR="00BB59DE" w:rsidRPr="00BB59DE">
        <w:rPr>
          <w:rFonts w:ascii="Arial" w:hAnsi="Arial" w:cs="Arial"/>
          <w:color w:val="000000"/>
          <w:sz w:val="24"/>
          <w:szCs w:val="24"/>
        </w:rPr>
        <w:t xml:space="preserve">den branche, som havde det største kvartalsvise fald, når der tages højde for sæsonudsving. Branchen </w:t>
      </w:r>
      <w:r w:rsidR="00BB59DE" w:rsidRPr="00BB59DE">
        <w:rPr>
          <w:rFonts w:ascii="Arial" w:hAnsi="Arial" w:cs="Arial"/>
          <w:i/>
          <w:iCs/>
          <w:color w:val="000000"/>
          <w:sz w:val="24"/>
          <w:szCs w:val="24"/>
        </w:rPr>
        <w:t xml:space="preserve">anden bygge- og anlægsvirksomhed </w:t>
      </w:r>
      <w:r w:rsidR="00BB59DE" w:rsidRPr="00BB59DE">
        <w:rPr>
          <w:rFonts w:ascii="Arial" w:hAnsi="Arial" w:cs="Arial"/>
          <w:color w:val="000000"/>
          <w:sz w:val="24"/>
          <w:szCs w:val="24"/>
        </w:rPr>
        <w:t>(omfatter tagdæknings-virksomhed, brolæggermestre, kloakmestre, stilladsforretninger m.m.) havde det næs</w:t>
      </w:r>
      <w:r>
        <w:rPr>
          <w:rFonts w:ascii="Arial" w:hAnsi="Arial" w:cs="Arial"/>
          <w:color w:val="000000"/>
          <w:sz w:val="24"/>
          <w:szCs w:val="24"/>
        </w:rPr>
        <w:t>tstørste fald, nemlig 10,</w:t>
      </w:r>
      <w:proofErr w:type="gramStart"/>
      <w:r>
        <w:rPr>
          <w:rFonts w:ascii="Arial" w:hAnsi="Arial" w:cs="Arial"/>
          <w:color w:val="000000"/>
          <w:sz w:val="24"/>
          <w:szCs w:val="24"/>
        </w:rPr>
        <w:t>5%</w:t>
      </w:r>
      <w:proofErr w:type="gramEnd"/>
      <w:r>
        <w:rPr>
          <w:rFonts w:ascii="Arial" w:hAnsi="Arial" w:cs="Arial"/>
          <w:color w:val="000000"/>
          <w:sz w:val="24"/>
          <w:szCs w:val="24"/>
        </w:rPr>
        <w:t>.</w:t>
      </w:r>
    </w:p>
    <w:p w:rsidR="000A72B8" w:rsidRDefault="000A72B8" w:rsidP="000A72B8">
      <w:pPr>
        <w:autoSpaceDE w:val="0"/>
        <w:autoSpaceDN w:val="0"/>
        <w:adjustRightInd w:val="0"/>
        <w:rPr>
          <w:rFonts w:ascii="Arial" w:hAnsi="Arial" w:cs="Arial"/>
          <w:color w:val="000000"/>
          <w:sz w:val="24"/>
          <w:szCs w:val="24"/>
        </w:rPr>
      </w:pPr>
    </w:p>
    <w:p w:rsidR="00BB59DE" w:rsidRPr="00BB59DE" w:rsidRDefault="00BB59DE" w:rsidP="000A72B8">
      <w:pPr>
        <w:autoSpaceDE w:val="0"/>
        <w:autoSpaceDN w:val="0"/>
        <w:adjustRightInd w:val="0"/>
        <w:rPr>
          <w:rFonts w:ascii="Arial" w:hAnsi="Arial" w:cs="Arial"/>
          <w:color w:val="000000"/>
          <w:sz w:val="24"/>
          <w:szCs w:val="24"/>
        </w:rPr>
      </w:pPr>
      <w:r w:rsidRPr="00BB59DE">
        <w:rPr>
          <w:rFonts w:ascii="Arial" w:hAnsi="Arial" w:cs="Arial"/>
          <w:color w:val="000000"/>
          <w:sz w:val="24"/>
          <w:szCs w:val="24"/>
        </w:rPr>
        <w:t xml:space="preserve">I faktiske tal faldt den samlede beskæftigelse inden for bygge og anlæg med 35.800 personer fra </w:t>
      </w:r>
      <w:r w:rsidR="000A72B8">
        <w:rPr>
          <w:rFonts w:ascii="Arial" w:hAnsi="Arial" w:cs="Arial"/>
          <w:color w:val="000000"/>
          <w:sz w:val="24"/>
          <w:szCs w:val="24"/>
        </w:rPr>
        <w:t>4.</w:t>
      </w:r>
      <w:r w:rsidRPr="00BB59DE">
        <w:rPr>
          <w:rFonts w:ascii="Arial" w:hAnsi="Arial" w:cs="Arial"/>
          <w:color w:val="000000"/>
          <w:sz w:val="24"/>
          <w:szCs w:val="24"/>
        </w:rPr>
        <w:t xml:space="preserve"> kvartal 2008 til </w:t>
      </w:r>
      <w:r w:rsidR="000A72B8">
        <w:rPr>
          <w:rFonts w:ascii="Arial" w:hAnsi="Arial" w:cs="Arial"/>
          <w:color w:val="000000"/>
          <w:sz w:val="24"/>
          <w:szCs w:val="24"/>
        </w:rPr>
        <w:t>4.</w:t>
      </w:r>
      <w:r w:rsidRPr="00BB59DE">
        <w:rPr>
          <w:rFonts w:ascii="Arial" w:hAnsi="Arial" w:cs="Arial"/>
          <w:color w:val="000000"/>
          <w:sz w:val="24"/>
          <w:szCs w:val="24"/>
        </w:rPr>
        <w:t xml:space="preserve"> kvartal 2009. Sammenligner man beskæftigelsen for </w:t>
      </w:r>
      <w:r w:rsidR="000A72B8">
        <w:rPr>
          <w:rFonts w:ascii="Arial" w:hAnsi="Arial" w:cs="Arial"/>
          <w:color w:val="000000"/>
          <w:sz w:val="24"/>
          <w:szCs w:val="24"/>
        </w:rPr>
        <w:t xml:space="preserve">4. </w:t>
      </w:r>
      <w:r w:rsidRPr="00BB59DE">
        <w:rPr>
          <w:rFonts w:ascii="Arial" w:hAnsi="Arial" w:cs="Arial"/>
          <w:color w:val="000000"/>
          <w:sz w:val="24"/>
          <w:szCs w:val="24"/>
        </w:rPr>
        <w:t xml:space="preserve">kvartal 2009 med samme periode året før, er </w:t>
      </w:r>
      <w:r w:rsidRPr="00BB59DE">
        <w:rPr>
          <w:rFonts w:ascii="Arial" w:hAnsi="Arial" w:cs="Arial"/>
          <w:i/>
          <w:iCs/>
          <w:color w:val="000000"/>
          <w:sz w:val="24"/>
          <w:szCs w:val="24"/>
        </w:rPr>
        <w:t xml:space="preserve">anlægsentreprenørerne </w:t>
      </w:r>
      <w:r w:rsidRPr="00BB59DE">
        <w:rPr>
          <w:rFonts w:ascii="Arial" w:hAnsi="Arial" w:cs="Arial"/>
          <w:color w:val="000000"/>
          <w:sz w:val="24"/>
          <w:szCs w:val="24"/>
        </w:rPr>
        <w:t>hårdest ramt med et fald på 28,</w:t>
      </w:r>
      <w:proofErr w:type="gramStart"/>
      <w:r w:rsidRPr="00BB59DE">
        <w:rPr>
          <w:rFonts w:ascii="Arial" w:hAnsi="Arial" w:cs="Arial"/>
          <w:color w:val="000000"/>
          <w:sz w:val="24"/>
          <w:szCs w:val="24"/>
        </w:rPr>
        <w:t>8</w:t>
      </w:r>
      <w:r w:rsidR="000A72B8">
        <w:rPr>
          <w:rFonts w:ascii="Arial" w:hAnsi="Arial" w:cs="Arial"/>
          <w:color w:val="000000"/>
          <w:sz w:val="24"/>
          <w:szCs w:val="24"/>
        </w:rPr>
        <w:t>%</w:t>
      </w:r>
      <w:proofErr w:type="gramEnd"/>
      <w:r w:rsidRPr="00BB59DE">
        <w:rPr>
          <w:rFonts w:ascii="Arial" w:hAnsi="Arial" w:cs="Arial"/>
          <w:color w:val="000000"/>
          <w:sz w:val="24"/>
          <w:szCs w:val="24"/>
        </w:rPr>
        <w:t xml:space="preserve">. efterfulgt af </w:t>
      </w:r>
      <w:r w:rsidRPr="00BB59DE">
        <w:rPr>
          <w:rFonts w:ascii="Arial" w:hAnsi="Arial" w:cs="Arial"/>
          <w:i/>
          <w:iCs/>
          <w:color w:val="000000"/>
          <w:sz w:val="24"/>
          <w:szCs w:val="24"/>
        </w:rPr>
        <w:t xml:space="preserve">anden bygge- og anlægsvirksomhed </w:t>
      </w:r>
      <w:r w:rsidRPr="00BB59DE">
        <w:rPr>
          <w:rFonts w:ascii="Arial" w:hAnsi="Arial" w:cs="Arial"/>
          <w:color w:val="000000"/>
          <w:sz w:val="24"/>
          <w:szCs w:val="24"/>
        </w:rPr>
        <w:t>med et fald på 25,</w:t>
      </w:r>
      <w:proofErr w:type="gramStart"/>
      <w:r w:rsidRPr="00BB59DE">
        <w:rPr>
          <w:rFonts w:ascii="Arial" w:hAnsi="Arial" w:cs="Arial"/>
          <w:color w:val="000000"/>
          <w:sz w:val="24"/>
          <w:szCs w:val="24"/>
        </w:rPr>
        <w:t>2</w:t>
      </w:r>
      <w:r w:rsidR="000A72B8">
        <w:rPr>
          <w:rFonts w:ascii="Arial" w:hAnsi="Arial" w:cs="Arial"/>
          <w:color w:val="000000"/>
          <w:sz w:val="24"/>
          <w:szCs w:val="24"/>
        </w:rPr>
        <w:t>%</w:t>
      </w:r>
      <w:proofErr w:type="gramEnd"/>
      <w:r w:rsidRPr="00BB59DE">
        <w:rPr>
          <w:rFonts w:ascii="Arial" w:hAnsi="Arial" w:cs="Arial"/>
          <w:color w:val="000000"/>
          <w:sz w:val="24"/>
          <w:szCs w:val="24"/>
        </w:rPr>
        <w:t>.</w:t>
      </w:r>
    </w:p>
    <w:p w:rsidR="00BB59DE" w:rsidRDefault="00BB59DE">
      <w:pPr>
        <w:rPr>
          <w:rFonts w:ascii="Arial" w:hAnsi="Arial" w:cs="Arial"/>
          <w:sz w:val="24"/>
          <w:szCs w:val="24"/>
        </w:rPr>
      </w:pPr>
    </w:p>
    <w:p w:rsidR="00BB59DE" w:rsidRPr="00BB59DE" w:rsidRDefault="00BB59DE">
      <w:pPr>
        <w:rPr>
          <w:rFonts w:ascii="Arial" w:hAnsi="Arial" w:cs="Arial"/>
          <w:b/>
          <w:sz w:val="24"/>
          <w:szCs w:val="24"/>
        </w:rPr>
      </w:pPr>
      <w:r w:rsidRPr="00BB59DE">
        <w:rPr>
          <w:rFonts w:ascii="Arial" w:hAnsi="Arial" w:cs="Arial"/>
          <w:b/>
          <w:sz w:val="24"/>
          <w:szCs w:val="24"/>
        </w:rPr>
        <w:t>Beskæftigede inden for bygge og anlæg, sæsonkorrigeret</w:t>
      </w:r>
    </w:p>
    <w:p w:rsidR="00BB59DE" w:rsidRDefault="00BB59DE">
      <w:pPr>
        <w:rPr>
          <w:rFonts w:ascii="Arial" w:hAnsi="Arial" w:cs="Arial"/>
          <w:sz w:val="24"/>
          <w:szCs w:val="24"/>
        </w:rPr>
      </w:pPr>
      <w:r w:rsidRPr="00BB59DE">
        <w:rPr>
          <w:rFonts w:ascii="Arial" w:hAnsi="Arial" w:cs="Arial"/>
          <w:noProof/>
          <w:sz w:val="24"/>
          <w:szCs w:val="24"/>
          <w:lang w:eastAsia="da-DK"/>
        </w:rPr>
        <w:drawing>
          <wp:inline distT="0" distB="0" distL="0" distR="0">
            <wp:extent cx="6286500" cy="3314700"/>
            <wp:effectExtent l="0" t="0" r="0"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59DE" w:rsidRPr="00BB59DE" w:rsidRDefault="00BB59DE">
      <w:pPr>
        <w:rPr>
          <w:rFonts w:ascii="Arial" w:hAnsi="Arial" w:cs="Arial"/>
          <w:i/>
          <w:szCs w:val="20"/>
        </w:rPr>
      </w:pPr>
      <w:r w:rsidRPr="00BB59DE">
        <w:rPr>
          <w:rFonts w:ascii="Arial" w:hAnsi="Arial" w:cs="Arial"/>
          <w:i/>
          <w:szCs w:val="20"/>
        </w:rPr>
        <w:t xml:space="preserve">Kilde: Danmarks Statistik ”Beskæftigede ved bygge og anlæg 4. </w:t>
      </w:r>
      <w:proofErr w:type="spellStart"/>
      <w:r w:rsidRPr="00BB59DE">
        <w:rPr>
          <w:rFonts w:ascii="Arial" w:hAnsi="Arial" w:cs="Arial"/>
          <w:i/>
          <w:szCs w:val="20"/>
        </w:rPr>
        <w:t>kvt</w:t>
      </w:r>
      <w:proofErr w:type="spellEnd"/>
      <w:r w:rsidRPr="00BB59DE">
        <w:rPr>
          <w:rFonts w:ascii="Arial" w:hAnsi="Arial" w:cs="Arial"/>
          <w:i/>
          <w:szCs w:val="20"/>
        </w:rPr>
        <w:t>. 2009”</w:t>
      </w:r>
    </w:p>
    <w:p w:rsidR="00BB59DE" w:rsidRDefault="00BB59DE">
      <w:pPr>
        <w:rPr>
          <w:rFonts w:ascii="Arial" w:hAnsi="Arial" w:cs="Arial"/>
          <w:sz w:val="24"/>
          <w:szCs w:val="24"/>
        </w:rPr>
      </w:pPr>
    </w:p>
    <w:p w:rsidR="005C5A07" w:rsidRDefault="005C5A07">
      <w:pPr>
        <w:rPr>
          <w:rFonts w:ascii="Arial" w:hAnsi="Arial" w:cs="Arial"/>
          <w:sz w:val="24"/>
          <w:szCs w:val="24"/>
        </w:rPr>
      </w:pPr>
    </w:p>
    <w:p w:rsidR="005C5A07" w:rsidRPr="00365589" w:rsidRDefault="005C5A07">
      <w:pPr>
        <w:rPr>
          <w:rFonts w:ascii="Arial" w:hAnsi="Arial" w:cs="Arial"/>
          <w:sz w:val="24"/>
          <w:szCs w:val="24"/>
        </w:rPr>
      </w:pPr>
    </w:p>
    <w:sectPr w:rsidR="005C5A07" w:rsidRPr="00365589" w:rsidSect="003E2DCB">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DE" w:rsidRDefault="00BB59DE" w:rsidP="00365589">
      <w:r>
        <w:separator/>
      </w:r>
    </w:p>
  </w:endnote>
  <w:endnote w:type="continuationSeparator" w:id="0">
    <w:p w:rsidR="00BB59DE" w:rsidRDefault="00BB59DE" w:rsidP="0036558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IIDL I+ Frutiger">
    <w:altName w:val="Frutiger"/>
    <w:panose1 w:val="00000000000000000000"/>
    <w:charset w:val="00"/>
    <w:family w:val="swiss"/>
    <w:notTrueType/>
    <w:pitch w:val="default"/>
    <w:sig w:usb0="00000003" w:usb1="00000000" w:usb2="00000000" w:usb3="00000000" w:csb0="00000001" w:csb1="00000000"/>
  </w:font>
  <w:font w:name="GNGMD A+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DE" w:rsidRPr="00E50A2C" w:rsidRDefault="00BB59DE" w:rsidP="00E50A2C">
    <w:pPr>
      <w:pStyle w:val="Sidefod"/>
    </w:pPr>
    <w:r w:rsidRPr="00E50A2C">
      <w:t>Camilla Vakgaard til BAT bestyrelsesmøde d. 27. januar 2010</w:t>
    </w:r>
    <w:r w:rsidRPr="00E50A2C">
      <w:ptab w:relativeTo="margin" w:alignment="right" w:leader="none"/>
    </w:r>
    <w:r w:rsidRPr="00E50A2C">
      <w:t xml:space="preserve">Side </w:t>
    </w:r>
    <w:fldSimple w:instr=" PAGE   \* MERGEFORMAT ">
      <w:r w:rsidR="006262FD">
        <w:rPr>
          <w:noProof/>
        </w:rPr>
        <w:t>1</w:t>
      </w:r>
    </w:fldSimple>
  </w:p>
  <w:p w:rsidR="00BB59DE" w:rsidRDefault="00BB59DE" w:rsidP="00E50A2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DE" w:rsidRDefault="00BB59DE" w:rsidP="00365589">
      <w:r>
        <w:separator/>
      </w:r>
    </w:p>
  </w:footnote>
  <w:footnote w:type="continuationSeparator" w:id="0">
    <w:p w:rsidR="00BB59DE" w:rsidRDefault="00BB59DE" w:rsidP="00365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11F99"/>
    <w:rsid w:val="000A72B8"/>
    <w:rsid w:val="000D7FA8"/>
    <w:rsid w:val="00111F99"/>
    <w:rsid w:val="00290E6D"/>
    <w:rsid w:val="002F67D3"/>
    <w:rsid w:val="00365589"/>
    <w:rsid w:val="003E2DCB"/>
    <w:rsid w:val="00462948"/>
    <w:rsid w:val="004B0107"/>
    <w:rsid w:val="004D1D47"/>
    <w:rsid w:val="005928CC"/>
    <w:rsid w:val="005C5A07"/>
    <w:rsid w:val="006262FD"/>
    <w:rsid w:val="008C1952"/>
    <w:rsid w:val="00B139AC"/>
    <w:rsid w:val="00B40F1B"/>
    <w:rsid w:val="00B64C97"/>
    <w:rsid w:val="00BB59DE"/>
    <w:rsid w:val="00C05E98"/>
    <w:rsid w:val="00D11CFB"/>
    <w:rsid w:val="00D133A0"/>
    <w:rsid w:val="00D812D0"/>
    <w:rsid w:val="00D87C8E"/>
    <w:rsid w:val="00E004A4"/>
    <w:rsid w:val="00E50A2C"/>
    <w:rsid w:val="00EB0FD4"/>
    <w:rsid w:val="00F04E90"/>
    <w:rsid w:val="00FC7CA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11F9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F99"/>
    <w:rPr>
      <w:rFonts w:ascii="Tahoma" w:hAnsi="Tahoma" w:cs="Tahoma"/>
      <w:sz w:val="16"/>
      <w:szCs w:val="16"/>
    </w:rPr>
  </w:style>
  <w:style w:type="paragraph" w:styleId="Sidehoved">
    <w:name w:val="header"/>
    <w:basedOn w:val="Normal"/>
    <w:link w:val="SidehovedTegn"/>
    <w:uiPriority w:val="99"/>
    <w:semiHidden/>
    <w:unhideWhenUsed/>
    <w:rsid w:val="00365589"/>
    <w:pPr>
      <w:tabs>
        <w:tab w:val="center" w:pos="4819"/>
        <w:tab w:val="right" w:pos="9638"/>
      </w:tabs>
    </w:pPr>
  </w:style>
  <w:style w:type="character" w:customStyle="1" w:styleId="SidehovedTegn">
    <w:name w:val="Sidehoved Tegn"/>
    <w:basedOn w:val="Standardskrifttypeiafsnit"/>
    <w:link w:val="Sidehoved"/>
    <w:uiPriority w:val="99"/>
    <w:semiHidden/>
    <w:rsid w:val="00365589"/>
  </w:style>
  <w:style w:type="paragraph" w:styleId="Sidefod">
    <w:name w:val="footer"/>
    <w:basedOn w:val="Normal"/>
    <w:link w:val="SidefodTegn"/>
    <w:uiPriority w:val="99"/>
    <w:unhideWhenUsed/>
    <w:rsid w:val="00E50A2C"/>
    <w:pPr>
      <w:pBdr>
        <w:top w:val="thinThickSmallGap" w:sz="24" w:space="1" w:color="622423" w:themeColor="accent2" w:themeShade="7F"/>
      </w:pBdr>
      <w:tabs>
        <w:tab w:val="center" w:pos="4819"/>
        <w:tab w:val="right" w:pos="9638"/>
      </w:tabs>
    </w:pPr>
  </w:style>
  <w:style w:type="character" w:customStyle="1" w:styleId="SidefodTegn">
    <w:name w:val="Sidefod Tegn"/>
    <w:basedOn w:val="Standardskrifttypeiafsnit"/>
    <w:link w:val="Sidefod"/>
    <w:uiPriority w:val="99"/>
    <w:rsid w:val="00E50A2C"/>
  </w:style>
  <w:style w:type="paragraph" w:customStyle="1" w:styleId="Tabeloverskrift">
    <w:name w:val="Tabeloverskrift"/>
    <w:basedOn w:val="Normal"/>
    <w:next w:val="Normal"/>
    <w:uiPriority w:val="99"/>
    <w:rsid w:val="00D11CFB"/>
    <w:pPr>
      <w:autoSpaceDE w:val="0"/>
      <w:autoSpaceDN w:val="0"/>
      <w:adjustRightInd w:val="0"/>
    </w:pPr>
    <w:rPr>
      <w:rFonts w:ascii="AIIDL I+ Frutiger" w:hAnsi="AIIDL I+ Frutiger"/>
      <w:sz w:val="24"/>
      <w:szCs w:val="24"/>
    </w:rPr>
  </w:style>
  <w:style w:type="paragraph" w:customStyle="1" w:styleId="MellemRubrik">
    <w:name w:val="MellemRubrik"/>
    <w:basedOn w:val="Normal"/>
    <w:next w:val="Normal"/>
    <w:uiPriority w:val="99"/>
    <w:rsid w:val="00D11CFB"/>
    <w:pPr>
      <w:autoSpaceDE w:val="0"/>
      <w:autoSpaceDN w:val="0"/>
      <w:adjustRightInd w:val="0"/>
    </w:pPr>
    <w:rPr>
      <w:rFonts w:ascii="AIIDL I+ Frutiger" w:hAnsi="AIIDL I+ Frutiger"/>
      <w:sz w:val="24"/>
      <w:szCs w:val="24"/>
    </w:rPr>
  </w:style>
  <w:style w:type="paragraph" w:styleId="Titel">
    <w:name w:val="Title"/>
    <w:basedOn w:val="Normal"/>
    <w:next w:val="Normal"/>
    <w:link w:val="TitelTegn"/>
    <w:uiPriority w:val="99"/>
    <w:qFormat/>
    <w:rsid w:val="00BB59DE"/>
    <w:pPr>
      <w:autoSpaceDE w:val="0"/>
      <w:autoSpaceDN w:val="0"/>
      <w:adjustRightInd w:val="0"/>
    </w:pPr>
    <w:rPr>
      <w:rFonts w:ascii="GNGMD A+ Frutiger" w:hAnsi="GNGMD A+ Frutiger"/>
      <w:sz w:val="24"/>
      <w:szCs w:val="24"/>
    </w:rPr>
  </w:style>
  <w:style w:type="character" w:customStyle="1" w:styleId="TitelTegn">
    <w:name w:val="Titel Tegn"/>
    <w:basedOn w:val="Standardskrifttypeiafsnit"/>
    <w:link w:val="Titel"/>
    <w:uiPriority w:val="99"/>
    <w:rsid w:val="00BB59DE"/>
    <w:rPr>
      <w:rFonts w:ascii="GNGMD A+ Frutiger" w:hAnsi="GNGMD A+ Frutiger"/>
      <w:sz w:val="24"/>
      <w:szCs w:val="24"/>
    </w:rPr>
  </w:style>
</w:styles>
</file>

<file path=word/webSettings.xml><?xml version="1.0" encoding="utf-8"?>
<w:webSettings xmlns:r="http://schemas.openxmlformats.org/officeDocument/2006/relationships" xmlns:w="http://schemas.openxmlformats.org/wordprocessingml/2006/main">
  <w:divs>
    <w:div w:id="1197351709">
      <w:bodyDiv w:val="1"/>
      <w:marLeft w:val="0"/>
      <w:marRight w:val="0"/>
      <w:marTop w:val="0"/>
      <w:marBottom w:val="0"/>
      <w:divBdr>
        <w:top w:val="none" w:sz="0" w:space="0" w:color="auto"/>
        <w:left w:val="none" w:sz="0" w:space="0" w:color="auto"/>
        <w:bottom w:val="none" w:sz="0" w:space="0" w:color="auto"/>
        <w:right w:val="none" w:sz="0" w:space="0" w:color="auto"/>
      </w:divBdr>
    </w:div>
    <w:div w:id="1434284896">
      <w:bodyDiv w:val="1"/>
      <w:marLeft w:val="0"/>
      <w:marRight w:val="0"/>
      <w:marTop w:val="0"/>
      <w:marBottom w:val="0"/>
      <w:divBdr>
        <w:top w:val="none" w:sz="0" w:space="0" w:color="auto"/>
        <w:left w:val="none" w:sz="0" w:space="0" w:color="auto"/>
        <w:bottom w:val="none" w:sz="0" w:space="0" w:color="auto"/>
        <w:right w:val="none" w:sz="0" w:space="0" w:color="auto"/>
      </w:divBdr>
    </w:div>
    <w:div w:id="14904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Konjunkturoverv&#229;gning.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LU2003V01\DATA4444\ALLE\BATKART\CV0044\Konjunkturoverv&#229;gning\Konjunkturoverv&#229;gnin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v4444\Desktop\Konjunkturindikatore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LU2003V01\DATA4444\ALLE\BATKART\CV0044\Konjunkturoverv&#229;gning\L&#248;n%20og%20besk&#230;ftigel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www.statistikbanken.dk/statbank5a/temp/20101151216664732007BYG4418242253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autoTitleDeleted val="1"/>
    <c:plotArea>
      <c:layout>
        <c:manualLayout>
          <c:layoutTarget val="inner"/>
          <c:xMode val="edge"/>
          <c:yMode val="edge"/>
          <c:x val="7.6912195568577188E-2"/>
          <c:y val="0.10624803698700842"/>
          <c:w val="0.9072469938350729"/>
          <c:h val="0.73788167670751115"/>
        </c:manualLayout>
      </c:layout>
      <c:lineChart>
        <c:grouping val="standard"/>
        <c:ser>
          <c:idx val="2"/>
          <c:order val="0"/>
          <c:tx>
            <c:strRef>
              <c:f>Tal!$A$11</c:f>
              <c:strCache>
                <c:ptCount val="1"/>
                <c:pt idx="0">
                  <c:v>2005</c:v>
                </c:pt>
              </c:strCache>
            </c:strRef>
          </c:tx>
          <c:spPr>
            <a:ln w="38100">
              <a:solidFill>
                <a:srgbClr val="000000"/>
              </a:solidFill>
              <a:prstDash val="solid"/>
            </a:ln>
          </c:spPr>
          <c:marker>
            <c:symbol val="none"/>
          </c:marker>
          <c:cat>
            <c:strRef>
              <c:f>Tal!$B$5:$AA$5</c:f>
              <c:strCache>
                <c:ptCount val="26"/>
                <c:pt idx="0">
                  <c:v>Uge 1</c:v>
                </c:pt>
                <c:pt idx="1">
                  <c:v>Uge 3</c:v>
                </c:pt>
                <c:pt idx="2">
                  <c:v>Uge 5</c:v>
                </c:pt>
                <c:pt idx="3">
                  <c:v>Uge 7</c:v>
                </c:pt>
                <c:pt idx="4">
                  <c:v>Uge 9</c:v>
                </c:pt>
                <c:pt idx="5">
                  <c:v>Uge 11</c:v>
                </c:pt>
                <c:pt idx="6">
                  <c:v>Uge 13</c:v>
                </c:pt>
                <c:pt idx="7">
                  <c:v>Uge 15</c:v>
                </c:pt>
                <c:pt idx="8">
                  <c:v>Uge 17</c:v>
                </c:pt>
                <c:pt idx="9">
                  <c:v>Uge 19</c:v>
                </c:pt>
                <c:pt idx="10">
                  <c:v>Uge 21</c:v>
                </c:pt>
                <c:pt idx="11">
                  <c:v>Uge 23</c:v>
                </c:pt>
                <c:pt idx="12">
                  <c:v>Uge 25</c:v>
                </c:pt>
                <c:pt idx="13">
                  <c:v>Uge 27</c:v>
                </c:pt>
                <c:pt idx="14">
                  <c:v>Uge 29</c:v>
                </c:pt>
                <c:pt idx="15">
                  <c:v>Uge 31</c:v>
                </c:pt>
                <c:pt idx="16">
                  <c:v>Uge 33</c:v>
                </c:pt>
                <c:pt idx="17">
                  <c:v>Uge 35</c:v>
                </c:pt>
                <c:pt idx="18">
                  <c:v>Uge 37</c:v>
                </c:pt>
                <c:pt idx="19">
                  <c:v>Uge 39</c:v>
                </c:pt>
                <c:pt idx="20">
                  <c:v>Uge 41</c:v>
                </c:pt>
                <c:pt idx="21">
                  <c:v>Uge 43</c:v>
                </c:pt>
                <c:pt idx="22">
                  <c:v>Uge 45</c:v>
                </c:pt>
                <c:pt idx="23">
                  <c:v>Uge 47</c:v>
                </c:pt>
                <c:pt idx="24">
                  <c:v>Uge 49</c:v>
                </c:pt>
                <c:pt idx="25">
                  <c:v>Uge 51</c:v>
                </c:pt>
              </c:strCache>
            </c:strRef>
          </c:cat>
          <c:val>
            <c:numRef>
              <c:f>Tal!$B$11:$AA$11</c:f>
              <c:numCache>
                <c:formatCode>0.0</c:formatCode>
                <c:ptCount val="26"/>
                <c:pt idx="0">
                  <c:v>10.4</c:v>
                </c:pt>
                <c:pt idx="1">
                  <c:v>10.200000000000001</c:v>
                </c:pt>
                <c:pt idx="2">
                  <c:v>9.8000000000000007</c:v>
                </c:pt>
                <c:pt idx="3">
                  <c:v>10.9</c:v>
                </c:pt>
                <c:pt idx="4">
                  <c:v>11.1</c:v>
                </c:pt>
                <c:pt idx="5">
                  <c:v>11.2</c:v>
                </c:pt>
                <c:pt idx="6">
                  <c:v>9.5</c:v>
                </c:pt>
                <c:pt idx="7">
                  <c:v>7.6</c:v>
                </c:pt>
                <c:pt idx="8">
                  <c:v>6.2</c:v>
                </c:pt>
                <c:pt idx="9">
                  <c:v>5.9</c:v>
                </c:pt>
                <c:pt idx="10">
                  <c:v>5.0999999999999996</c:v>
                </c:pt>
                <c:pt idx="11">
                  <c:v>4.8</c:v>
                </c:pt>
                <c:pt idx="12">
                  <c:v>4.5</c:v>
                </c:pt>
                <c:pt idx="13">
                  <c:v>4.2</c:v>
                </c:pt>
                <c:pt idx="14">
                  <c:v>4.2</c:v>
                </c:pt>
                <c:pt idx="15">
                  <c:v>4.2</c:v>
                </c:pt>
                <c:pt idx="16">
                  <c:v>4.2</c:v>
                </c:pt>
                <c:pt idx="17">
                  <c:v>3.8</c:v>
                </c:pt>
                <c:pt idx="18">
                  <c:v>3.9</c:v>
                </c:pt>
                <c:pt idx="19">
                  <c:v>3.6</c:v>
                </c:pt>
                <c:pt idx="20">
                  <c:v>3.8</c:v>
                </c:pt>
                <c:pt idx="21">
                  <c:v>3.9</c:v>
                </c:pt>
                <c:pt idx="22">
                  <c:v>4</c:v>
                </c:pt>
                <c:pt idx="23">
                  <c:v>4.2</c:v>
                </c:pt>
                <c:pt idx="24">
                  <c:v>4.7</c:v>
                </c:pt>
                <c:pt idx="25">
                  <c:v>6.2</c:v>
                </c:pt>
              </c:numCache>
            </c:numRef>
          </c:val>
          <c:smooth val="1"/>
        </c:ser>
        <c:ser>
          <c:idx val="3"/>
          <c:order val="1"/>
          <c:tx>
            <c:strRef>
              <c:f>Tal!$A$12</c:f>
              <c:strCache>
                <c:ptCount val="1"/>
                <c:pt idx="0">
                  <c:v>2006</c:v>
                </c:pt>
              </c:strCache>
            </c:strRef>
          </c:tx>
          <c:spPr>
            <a:ln w="38100">
              <a:solidFill>
                <a:srgbClr val="FF0000"/>
              </a:solidFill>
              <a:prstDash val="solid"/>
            </a:ln>
          </c:spPr>
          <c:marker>
            <c:symbol val="none"/>
          </c:marker>
          <c:cat>
            <c:strRef>
              <c:f>Tal!$B$5:$AA$5</c:f>
              <c:strCache>
                <c:ptCount val="26"/>
                <c:pt idx="0">
                  <c:v>Uge 1</c:v>
                </c:pt>
                <c:pt idx="1">
                  <c:v>Uge 3</c:v>
                </c:pt>
                <c:pt idx="2">
                  <c:v>Uge 5</c:v>
                </c:pt>
                <c:pt idx="3">
                  <c:v>Uge 7</c:v>
                </c:pt>
                <c:pt idx="4">
                  <c:v>Uge 9</c:v>
                </c:pt>
                <c:pt idx="5">
                  <c:v>Uge 11</c:v>
                </c:pt>
                <c:pt idx="6">
                  <c:v>Uge 13</c:v>
                </c:pt>
                <c:pt idx="7">
                  <c:v>Uge 15</c:v>
                </c:pt>
                <c:pt idx="8">
                  <c:v>Uge 17</c:v>
                </c:pt>
                <c:pt idx="9">
                  <c:v>Uge 19</c:v>
                </c:pt>
                <c:pt idx="10">
                  <c:v>Uge 21</c:v>
                </c:pt>
                <c:pt idx="11">
                  <c:v>Uge 23</c:v>
                </c:pt>
                <c:pt idx="12">
                  <c:v>Uge 25</c:v>
                </c:pt>
                <c:pt idx="13">
                  <c:v>Uge 27</c:v>
                </c:pt>
                <c:pt idx="14">
                  <c:v>Uge 29</c:v>
                </c:pt>
                <c:pt idx="15">
                  <c:v>Uge 31</c:v>
                </c:pt>
                <c:pt idx="16">
                  <c:v>Uge 33</c:v>
                </c:pt>
                <c:pt idx="17">
                  <c:v>Uge 35</c:v>
                </c:pt>
                <c:pt idx="18">
                  <c:v>Uge 37</c:v>
                </c:pt>
                <c:pt idx="19">
                  <c:v>Uge 39</c:v>
                </c:pt>
                <c:pt idx="20">
                  <c:v>Uge 41</c:v>
                </c:pt>
                <c:pt idx="21">
                  <c:v>Uge 43</c:v>
                </c:pt>
                <c:pt idx="22">
                  <c:v>Uge 45</c:v>
                </c:pt>
                <c:pt idx="23">
                  <c:v>Uge 47</c:v>
                </c:pt>
                <c:pt idx="24">
                  <c:v>Uge 49</c:v>
                </c:pt>
                <c:pt idx="25">
                  <c:v>Uge 51</c:v>
                </c:pt>
              </c:strCache>
            </c:strRef>
          </c:cat>
          <c:val>
            <c:numRef>
              <c:f>Tal!$B$12:$AA$12</c:f>
              <c:numCache>
                <c:formatCode>0.0</c:formatCode>
                <c:ptCount val="26"/>
                <c:pt idx="0">
                  <c:v>7.7</c:v>
                </c:pt>
                <c:pt idx="1">
                  <c:v>7.9</c:v>
                </c:pt>
                <c:pt idx="2">
                  <c:v>8.8000000000000007</c:v>
                </c:pt>
                <c:pt idx="3">
                  <c:v>8.3000000000000007</c:v>
                </c:pt>
                <c:pt idx="4">
                  <c:v>7.1</c:v>
                </c:pt>
                <c:pt idx="5">
                  <c:v>7.4</c:v>
                </c:pt>
                <c:pt idx="6">
                  <c:v>5.8</c:v>
                </c:pt>
                <c:pt idx="7">
                  <c:v>4.8</c:v>
                </c:pt>
                <c:pt idx="8">
                  <c:v>3.7</c:v>
                </c:pt>
                <c:pt idx="9">
                  <c:v>3.3</c:v>
                </c:pt>
                <c:pt idx="10">
                  <c:v>2.9</c:v>
                </c:pt>
                <c:pt idx="11">
                  <c:v>2.6</c:v>
                </c:pt>
                <c:pt idx="12">
                  <c:v>2.5</c:v>
                </c:pt>
                <c:pt idx="13">
                  <c:v>2.2999999999999998</c:v>
                </c:pt>
                <c:pt idx="14">
                  <c:v>2.2000000000000002</c:v>
                </c:pt>
                <c:pt idx="15">
                  <c:v>2.4</c:v>
                </c:pt>
                <c:pt idx="16">
                  <c:v>2.2999999999999998</c:v>
                </c:pt>
                <c:pt idx="17">
                  <c:v>2.2000000000000002</c:v>
                </c:pt>
                <c:pt idx="18">
                  <c:v>2.1</c:v>
                </c:pt>
                <c:pt idx="19">
                  <c:v>2.2000000000000002</c:v>
                </c:pt>
                <c:pt idx="20">
                  <c:v>2.2000000000000002</c:v>
                </c:pt>
                <c:pt idx="21">
                  <c:v>2.4</c:v>
                </c:pt>
                <c:pt idx="22">
                  <c:v>2.5</c:v>
                </c:pt>
                <c:pt idx="23">
                  <c:v>2.5</c:v>
                </c:pt>
                <c:pt idx="24">
                  <c:v>2.9</c:v>
                </c:pt>
                <c:pt idx="25">
                  <c:v>3.9</c:v>
                </c:pt>
              </c:numCache>
            </c:numRef>
          </c:val>
          <c:smooth val="1"/>
        </c:ser>
        <c:ser>
          <c:idx val="0"/>
          <c:order val="2"/>
          <c:tx>
            <c:v>2007</c:v>
          </c:tx>
          <c:spPr>
            <a:ln w="38100">
              <a:solidFill>
                <a:srgbClr val="3366FF"/>
              </a:solidFill>
              <a:prstDash val="solid"/>
            </a:ln>
          </c:spPr>
          <c:marker>
            <c:symbol val="none"/>
          </c:marker>
          <c:val>
            <c:numRef>
              <c:f>Tal!$B$13:$AA$13</c:f>
              <c:numCache>
                <c:formatCode>0.0</c:formatCode>
                <c:ptCount val="26"/>
                <c:pt idx="0">
                  <c:v>4.4000000000000004</c:v>
                </c:pt>
                <c:pt idx="1">
                  <c:v>4.4000000000000004</c:v>
                </c:pt>
                <c:pt idx="2">
                  <c:v>4.4000000000000004</c:v>
                </c:pt>
                <c:pt idx="3">
                  <c:v>4.5</c:v>
                </c:pt>
                <c:pt idx="4">
                  <c:v>4.9000000000000004</c:v>
                </c:pt>
                <c:pt idx="5">
                  <c:v>4.3</c:v>
                </c:pt>
                <c:pt idx="6">
                  <c:v>3.3</c:v>
                </c:pt>
                <c:pt idx="7">
                  <c:v>3.2</c:v>
                </c:pt>
                <c:pt idx="8">
                  <c:v>2.5</c:v>
                </c:pt>
                <c:pt idx="9">
                  <c:v>2.5</c:v>
                </c:pt>
                <c:pt idx="10">
                  <c:v>2.2000000000000002</c:v>
                </c:pt>
                <c:pt idx="11">
                  <c:v>2.1</c:v>
                </c:pt>
                <c:pt idx="12">
                  <c:v>2</c:v>
                </c:pt>
                <c:pt idx="13">
                  <c:v>2</c:v>
                </c:pt>
                <c:pt idx="14">
                  <c:v>1.8</c:v>
                </c:pt>
                <c:pt idx="15">
                  <c:v>2</c:v>
                </c:pt>
                <c:pt idx="16">
                  <c:v>2.1</c:v>
                </c:pt>
                <c:pt idx="17">
                  <c:v>1.9000000000000001</c:v>
                </c:pt>
                <c:pt idx="18">
                  <c:v>1.9000000000000001</c:v>
                </c:pt>
                <c:pt idx="19">
                  <c:v>1.8</c:v>
                </c:pt>
                <c:pt idx="20">
                  <c:v>2</c:v>
                </c:pt>
                <c:pt idx="21">
                  <c:v>1.9000000000000001</c:v>
                </c:pt>
                <c:pt idx="22">
                  <c:v>2.2000000000000002</c:v>
                </c:pt>
                <c:pt idx="23">
                  <c:v>2.2999999999999998</c:v>
                </c:pt>
                <c:pt idx="24">
                  <c:v>2.6</c:v>
                </c:pt>
                <c:pt idx="25">
                  <c:v>3.2</c:v>
                </c:pt>
              </c:numCache>
            </c:numRef>
          </c:val>
          <c:smooth val="1"/>
        </c:ser>
        <c:ser>
          <c:idx val="1"/>
          <c:order val="3"/>
          <c:tx>
            <c:strRef>
              <c:f>Tal!$A$14</c:f>
              <c:strCache>
                <c:ptCount val="1"/>
                <c:pt idx="0">
                  <c:v>2008</c:v>
                </c:pt>
              </c:strCache>
            </c:strRef>
          </c:tx>
          <c:spPr>
            <a:ln w="38100">
              <a:solidFill>
                <a:srgbClr val="00FF00"/>
              </a:solidFill>
              <a:prstDash val="solid"/>
            </a:ln>
          </c:spPr>
          <c:marker>
            <c:symbol val="none"/>
          </c:marker>
          <c:val>
            <c:numRef>
              <c:f>Tal!$B$14:$AA$14</c:f>
              <c:numCache>
                <c:formatCode>0.0</c:formatCode>
                <c:ptCount val="26"/>
                <c:pt idx="0">
                  <c:v>4.2</c:v>
                </c:pt>
                <c:pt idx="1">
                  <c:v>4.3</c:v>
                </c:pt>
                <c:pt idx="2">
                  <c:v>4</c:v>
                </c:pt>
                <c:pt idx="3">
                  <c:v>4.2</c:v>
                </c:pt>
                <c:pt idx="4">
                  <c:v>3.9</c:v>
                </c:pt>
                <c:pt idx="5">
                  <c:v>3.8</c:v>
                </c:pt>
                <c:pt idx="6">
                  <c:v>3.5</c:v>
                </c:pt>
                <c:pt idx="7">
                  <c:v>3.1</c:v>
                </c:pt>
                <c:pt idx="8">
                  <c:v>2.5</c:v>
                </c:pt>
                <c:pt idx="9">
                  <c:v>2.4</c:v>
                </c:pt>
                <c:pt idx="10">
                  <c:v>2</c:v>
                </c:pt>
                <c:pt idx="11">
                  <c:v>2</c:v>
                </c:pt>
                <c:pt idx="12">
                  <c:v>2</c:v>
                </c:pt>
                <c:pt idx="13">
                  <c:v>1.9000000000000001</c:v>
                </c:pt>
                <c:pt idx="14">
                  <c:v>1.9000000000000001</c:v>
                </c:pt>
                <c:pt idx="15">
                  <c:v>1.9000000000000001</c:v>
                </c:pt>
                <c:pt idx="16">
                  <c:v>2</c:v>
                </c:pt>
                <c:pt idx="17">
                  <c:v>2.2000000000000002</c:v>
                </c:pt>
                <c:pt idx="18">
                  <c:v>2.4</c:v>
                </c:pt>
                <c:pt idx="19">
                  <c:v>2.4</c:v>
                </c:pt>
                <c:pt idx="20">
                  <c:v>2.7</c:v>
                </c:pt>
                <c:pt idx="21">
                  <c:v>3.2</c:v>
                </c:pt>
                <c:pt idx="22">
                  <c:v>3.7</c:v>
                </c:pt>
                <c:pt idx="23">
                  <c:v>4.4000000000000004</c:v>
                </c:pt>
                <c:pt idx="24">
                  <c:v>5.3</c:v>
                </c:pt>
                <c:pt idx="25">
                  <c:v>6</c:v>
                </c:pt>
              </c:numCache>
            </c:numRef>
          </c:val>
          <c:smooth val="1"/>
        </c:ser>
        <c:ser>
          <c:idx val="4"/>
          <c:order val="4"/>
          <c:tx>
            <c:strRef>
              <c:f>Tal!$A$15</c:f>
              <c:strCache>
                <c:ptCount val="1"/>
                <c:pt idx="0">
                  <c:v>2009</c:v>
                </c:pt>
              </c:strCache>
            </c:strRef>
          </c:tx>
          <c:spPr>
            <a:ln w="38100"/>
          </c:spPr>
          <c:marker>
            <c:symbol val="none"/>
          </c:marker>
          <c:val>
            <c:numRef>
              <c:f>Tal!$B$15:$AA$15</c:f>
              <c:numCache>
                <c:formatCode>General</c:formatCode>
                <c:ptCount val="26"/>
                <c:pt idx="0">
                  <c:v>8.3000000000000007</c:v>
                </c:pt>
                <c:pt idx="1">
                  <c:v>9.7000000000000011</c:v>
                </c:pt>
                <c:pt idx="2">
                  <c:v>10.200000000000001</c:v>
                </c:pt>
                <c:pt idx="3">
                  <c:v>11.3</c:v>
                </c:pt>
                <c:pt idx="4">
                  <c:v>12.4</c:v>
                </c:pt>
                <c:pt idx="5">
                  <c:v>13</c:v>
                </c:pt>
                <c:pt idx="6">
                  <c:v>11.9</c:v>
                </c:pt>
                <c:pt idx="7">
                  <c:v>12.4</c:v>
                </c:pt>
                <c:pt idx="8">
                  <c:v>11</c:v>
                </c:pt>
                <c:pt idx="9">
                  <c:v>11.1</c:v>
                </c:pt>
                <c:pt idx="10">
                  <c:v>10.1</c:v>
                </c:pt>
                <c:pt idx="11" formatCode="0.0">
                  <c:v>10.3</c:v>
                </c:pt>
                <c:pt idx="12" formatCode="0.0">
                  <c:v>9.9</c:v>
                </c:pt>
                <c:pt idx="13" formatCode="0.0">
                  <c:v>9.1</c:v>
                </c:pt>
                <c:pt idx="14" formatCode="0.0">
                  <c:v>8</c:v>
                </c:pt>
                <c:pt idx="15" formatCode="0.0">
                  <c:v>8.4</c:v>
                </c:pt>
                <c:pt idx="16" formatCode="0.0">
                  <c:v>8.6</c:v>
                </c:pt>
                <c:pt idx="17" formatCode="0.0">
                  <c:v>8.3000000000000007</c:v>
                </c:pt>
                <c:pt idx="18" formatCode="0.0">
                  <c:v>8.6</c:v>
                </c:pt>
                <c:pt idx="19" formatCode="0.0">
                  <c:v>8.6</c:v>
                </c:pt>
                <c:pt idx="20" formatCode="0.0">
                  <c:v>9.1</c:v>
                </c:pt>
                <c:pt idx="21" formatCode="0.0">
                  <c:v>9.9</c:v>
                </c:pt>
                <c:pt idx="22" formatCode="0.0">
                  <c:v>10.5</c:v>
                </c:pt>
                <c:pt idx="23" formatCode="0.0">
                  <c:v>11.1</c:v>
                </c:pt>
                <c:pt idx="24" formatCode="0.0">
                  <c:v>12.1</c:v>
                </c:pt>
                <c:pt idx="25" formatCode="0.0">
                  <c:v>13.1</c:v>
                </c:pt>
              </c:numCache>
            </c:numRef>
          </c:val>
          <c:smooth val="1"/>
        </c:ser>
        <c:marker val="1"/>
        <c:axId val="116566272"/>
        <c:axId val="116596736"/>
      </c:lineChart>
      <c:catAx>
        <c:axId val="116566272"/>
        <c:scaling>
          <c:orientation val="minMax"/>
        </c:scaling>
        <c:axPos val="b"/>
        <c:numFmt formatCode="General" sourceLinked="1"/>
        <c:tickLblPos val="nextTo"/>
        <c:spPr>
          <a:ln w="3175">
            <a:solidFill>
              <a:srgbClr val="000000"/>
            </a:solidFill>
            <a:prstDash val="solid"/>
          </a:ln>
        </c:spPr>
        <c:txPr>
          <a:bodyPr rot="-4500000" vert="horz"/>
          <a:lstStyle/>
          <a:p>
            <a:pPr>
              <a:defRPr sz="1050" b="0" i="0" u="none" strike="noStrike" baseline="0">
                <a:solidFill>
                  <a:srgbClr val="000000"/>
                </a:solidFill>
                <a:latin typeface="Arial"/>
                <a:ea typeface="Arial"/>
                <a:cs typeface="Arial"/>
              </a:defRPr>
            </a:pPr>
            <a:endParaRPr lang="da-DK"/>
          </a:p>
        </c:txPr>
        <c:crossAx val="116596736"/>
        <c:crosses val="autoZero"/>
        <c:auto val="1"/>
        <c:lblAlgn val="ctr"/>
        <c:lblOffset val="60"/>
        <c:tickLblSkip val="1"/>
        <c:tickMarkSkip val="1"/>
      </c:catAx>
      <c:valAx>
        <c:axId val="116596736"/>
        <c:scaling>
          <c:orientation val="minMax"/>
        </c:scaling>
        <c:axPos val="l"/>
        <c:majorGridlines>
          <c:spPr>
            <a:ln w="3175">
              <a:solidFill>
                <a:srgbClr val="000000"/>
              </a:solidFill>
              <a:prstDash val="solid"/>
            </a:ln>
          </c:spPr>
        </c:majorGridlines>
        <c:title>
          <c:tx>
            <c:rich>
              <a:bodyPr rot="0" vert="horz"/>
              <a:lstStyle/>
              <a:p>
                <a:pPr>
                  <a:defRPr sz="1200" b="0" i="0" u="none" strike="noStrike" baseline="0">
                    <a:solidFill>
                      <a:srgbClr val="000000"/>
                    </a:solidFill>
                    <a:latin typeface="Arial"/>
                    <a:ea typeface="Arial"/>
                    <a:cs typeface="Arial"/>
                  </a:defRPr>
                </a:pPr>
                <a:r>
                  <a:rPr lang="da-DK" sz="1200" b="0"/>
                  <a:t>Procent</a:t>
                </a:r>
              </a:p>
            </c:rich>
          </c:tx>
          <c:layout>
            <c:manualLayout>
              <c:xMode val="edge"/>
              <c:yMode val="edge"/>
              <c:x val="3.7994567539522711E-2"/>
              <c:y val="3.3102933263049236E-2"/>
            </c:manualLayout>
          </c:layout>
          <c:spPr>
            <a:noFill/>
            <a:ln w="25400">
              <a:noFill/>
            </a:ln>
          </c:spPr>
        </c:title>
        <c:numFmt formatCode="0.0"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da-DK"/>
          </a:p>
        </c:txPr>
        <c:crossAx val="116566272"/>
        <c:crosses val="autoZero"/>
        <c:crossBetween val="between"/>
      </c:valAx>
      <c:spPr>
        <a:noFill/>
        <a:ln w="3175">
          <a:solidFill>
            <a:srgbClr val="000000"/>
          </a:solidFill>
          <a:prstDash val="solid"/>
        </a:ln>
      </c:spPr>
    </c:plotArea>
    <c:legend>
      <c:legendPos val="r"/>
      <c:layout>
        <c:manualLayout>
          <c:xMode val="edge"/>
          <c:yMode val="edge"/>
          <c:x val="0.6225930680359435"/>
          <c:y val="0.11180340799369003"/>
          <c:w val="0.10943392318752269"/>
          <c:h val="0.20917683217059024"/>
        </c:manualLayout>
      </c:layout>
      <c:spPr>
        <a:solidFill>
          <a:srgbClr val="FFFFFF"/>
        </a:solidFill>
        <a:ln w="25400">
          <a:noFill/>
        </a:ln>
      </c:spPr>
      <c:txPr>
        <a:bodyPr/>
        <a:lstStyle/>
        <a:p>
          <a:pPr>
            <a:defRPr sz="1010" b="0" i="0" u="none" strike="noStrike" baseline="0">
              <a:solidFill>
                <a:srgbClr val="000000"/>
              </a:solidFill>
              <a:latin typeface="Arial"/>
              <a:ea typeface="Arial"/>
              <a:cs typeface="Arial"/>
            </a:defRPr>
          </a:pPr>
          <a:endParaRPr lang="da-DK"/>
        </a:p>
      </c:txPr>
    </c:legend>
    <c:plotVisOnly val="1"/>
    <c:dispBlanksAs val="gap"/>
  </c:chart>
  <c:spPr>
    <a:solidFill>
      <a:srgbClr val="FFFFFF"/>
    </a:solidFill>
    <a:ln w="3175">
      <a:noFill/>
      <a:prstDash val="solid"/>
    </a:ln>
  </c:spPr>
  <c:txPr>
    <a:bodyPr/>
    <a:lstStyle/>
    <a:p>
      <a:pPr>
        <a:defRPr sz="1600" b="0" i="0" u="none" strike="noStrike" baseline="0">
          <a:solidFill>
            <a:srgbClr val="000000"/>
          </a:solidFill>
          <a:latin typeface="Arial"/>
          <a:ea typeface="Arial"/>
          <a:cs typeface="Arial"/>
        </a:defRPr>
      </a:pPr>
      <a:endParaRPr lang="da-D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autoTitleDeleted val="1"/>
    <c:plotArea>
      <c:layout>
        <c:manualLayout>
          <c:layoutTarget val="inner"/>
          <c:xMode val="edge"/>
          <c:yMode val="edge"/>
          <c:x val="6.4279002353247724E-2"/>
          <c:y val="7.5309336332958374E-2"/>
          <c:w val="0.91623578076525158"/>
          <c:h val="0.69854705661792271"/>
        </c:manualLayout>
      </c:layout>
      <c:areaChart>
        <c:grouping val="stacked"/>
        <c:ser>
          <c:idx val="1"/>
          <c:order val="0"/>
          <c:spPr>
            <a:solidFill>
              <a:srgbClr val="99CCFF"/>
            </a:solidFill>
            <a:ln w="12700">
              <a:solidFill>
                <a:srgbClr val="000000"/>
              </a:solidFill>
              <a:prstDash val="solid"/>
            </a:ln>
          </c:spPr>
          <c:cat>
            <c:strRef>
              <c:f>Tal!$B$35:$FR$35</c:f>
              <c:strCache>
                <c:ptCount val="157"/>
                <c:pt idx="0">
                  <c:v>2003 uge 1</c:v>
                </c:pt>
                <c:pt idx="26">
                  <c:v>2004 uge 1</c:v>
                </c:pt>
                <c:pt idx="52">
                  <c:v>2005 uge 1</c:v>
                </c:pt>
                <c:pt idx="78">
                  <c:v>2006 uge 1</c:v>
                </c:pt>
                <c:pt idx="104">
                  <c:v>2007 uge 1</c:v>
                </c:pt>
                <c:pt idx="130">
                  <c:v>2008 uge 1</c:v>
                </c:pt>
                <c:pt idx="156">
                  <c:v>2009 uge 1</c:v>
                </c:pt>
              </c:strCache>
            </c:strRef>
          </c:cat>
          <c:val>
            <c:numRef>
              <c:f>Tal!$B$35:$FR$35</c:f>
              <c:numCache>
                <c:formatCode>General</c:formatCode>
                <c:ptCount val="173"/>
                <c:pt idx="0">
                  <c:v>0</c:v>
                </c:pt>
                <c:pt idx="26">
                  <c:v>0</c:v>
                </c:pt>
                <c:pt idx="52">
                  <c:v>0</c:v>
                </c:pt>
                <c:pt idx="78">
                  <c:v>0</c:v>
                </c:pt>
                <c:pt idx="104">
                  <c:v>0</c:v>
                </c:pt>
                <c:pt idx="130">
                  <c:v>0</c:v>
                </c:pt>
                <c:pt idx="156">
                  <c:v>0</c:v>
                </c:pt>
              </c:numCache>
            </c:numRef>
          </c:val>
        </c:ser>
        <c:ser>
          <c:idx val="0"/>
          <c:order val="1"/>
          <c:cat>
            <c:strRef>
              <c:f>Tal!$B$35:$FR$35</c:f>
              <c:strCache>
                <c:ptCount val="157"/>
                <c:pt idx="0">
                  <c:v>2003 uge 1</c:v>
                </c:pt>
                <c:pt idx="26">
                  <c:v>2004 uge 1</c:v>
                </c:pt>
                <c:pt idx="52">
                  <c:v>2005 uge 1</c:v>
                </c:pt>
                <c:pt idx="78">
                  <c:v>2006 uge 1</c:v>
                </c:pt>
                <c:pt idx="104">
                  <c:v>2007 uge 1</c:v>
                </c:pt>
                <c:pt idx="130">
                  <c:v>2008 uge 1</c:v>
                </c:pt>
                <c:pt idx="156">
                  <c:v>2009 uge 1</c:v>
                </c:pt>
              </c:strCache>
            </c:strRef>
          </c:cat>
          <c:val>
            <c:numRef>
              <c:f>Tal!$B$36:$GA$36</c:f>
              <c:numCache>
                <c:formatCode>General</c:formatCode>
                <c:ptCount val="182"/>
                <c:pt idx="0">
                  <c:v>11.8</c:v>
                </c:pt>
                <c:pt idx="1">
                  <c:v>14.5</c:v>
                </c:pt>
                <c:pt idx="2">
                  <c:v>13.2</c:v>
                </c:pt>
                <c:pt idx="3">
                  <c:v>13.1</c:v>
                </c:pt>
                <c:pt idx="4">
                  <c:v>13.6</c:v>
                </c:pt>
                <c:pt idx="5">
                  <c:v>13.2</c:v>
                </c:pt>
                <c:pt idx="6">
                  <c:v>11.5</c:v>
                </c:pt>
                <c:pt idx="7">
                  <c:v>10.200000000000001</c:v>
                </c:pt>
                <c:pt idx="8">
                  <c:v>10.1</c:v>
                </c:pt>
                <c:pt idx="9">
                  <c:v>9.1</c:v>
                </c:pt>
                <c:pt idx="10">
                  <c:v>8.5</c:v>
                </c:pt>
                <c:pt idx="11">
                  <c:v>8.1</c:v>
                </c:pt>
                <c:pt idx="12">
                  <c:v>6.6</c:v>
                </c:pt>
                <c:pt idx="13">
                  <c:v>6.1</c:v>
                </c:pt>
                <c:pt idx="14">
                  <c:v>5.7</c:v>
                </c:pt>
                <c:pt idx="15">
                  <c:v>5.8</c:v>
                </c:pt>
                <c:pt idx="16">
                  <c:v>5.8</c:v>
                </c:pt>
                <c:pt idx="17">
                  <c:v>6.2</c:v>
                </c:pt>
                <c:pt idx="18">
                  <c:v>6.1</c:v>
                </c:pt>
                <c:pt idx="19">
                  <c:v>6.2</c:v>
                </c:pt>
                <c:pt idx="20">
                  <c:v>6.3</c:v>
                </c:pt>
                <c:pt idx="21">
                  <c:v>6.4</c:v>
                </c:pt>
                <c:pt idx="22">
                  <c:v>7.1</c:v>
                </c:pt>
                <c:pt idx="23">
                  <c:v>7.4</c:v>
                </c:pt>
                <c:pt idx="24">
                  <c:v>8</c:v>
                </c:pt>
                <c:pt idx="25">
                  <c:v>8.9</c:v>
                </c:pt>
                <c:pt idx="26">
                  <c:v>11.9</c:v>
                </c:pt>
                <c:pt idx="27">
                  <c:v>12.8</c:v>
                </c:pt>
                <c:pt idx="28">
                  <c:v>13.6</c:v>
                </c:pt>
                <c:pt idx="29">
                  <c:v>13.6</c:v>
                </c:pt>
                <c:pt idx="30">
                  <c:v>13</c:v>
                </c:pt>
                <c:pt idx="31">
                  <c:v>12.5</c:v>
                </c:pt>
                <c:pt idx="32">
                  <c:v>11.2</c:v>
                </c:pt>
                <c:pt idx="33">
                  <c:v>10.5</c:v>
                </c:pt>
                <c:pt idx="34">
                  <c:v>9.4</c:v>
                </c:pt>
                <c:pt idx="35">
                  <c:v>8.3000000000000007</c:v>
                </c:pt>
                <c:pt idx="36">
                  <c:v>7.7</c:v>
                </c:pt>
                <c:pt idx="37">
                  <c:v>7.2</c:v>
                </c:pt>
                <c:pt idx="38">
                  <c:v>6.6</c:v>
                </c:pt>
                <c:pt idx="39">
                  <c:v>6.4</c:v>
                </c:pt>
                <c:pt idx="40">
                  <c:v>5.3</c:v>
                </c:pt>
                <c:pt idx="41">
                  <c:v>5.6</c:v>
                </c:pt>
                <c:pt idx="42">
                  <c:v>5.9</c:v>
                </c:pt>
                <c:pt idx="43">
                  <c:v>5.6</c:v>
                </c:pt>
                <c:pt idx="44">
                  <c:v>5.5</c:v>
                </c:pt>
                <c:pt idx="45">
                  <c:v>5.6</c:v>
                </c:pt>
                <c:pt idx="46">
                  <c:v>5.6</c:v>
                </c:pt>
                <c:pt idx="47">
                  <c:v>5.7</c:v>
                </c:pt>
                <c:pt idx="48">
                  <c:v>5.8</c:v>
                </c:pt>
                <c:pt idx="49">
                  <c:v>6</c:v>
                </c:pt>
                <c:pt idx="50">
                  <c:v>6.5</c:v>
                </c:pt>
                <c:pt idx="51">
                  <c:v>7.2</c:v>
                </c:pt>
                <c:pt idx="52">
                  <c:v>10.4</c:v>
                </c:pt>
                <c:pt idx="53">
                  <c:v>10.200000000000001</c:v>
                </c:pt>
                <c:pt idx="54">
                  <c:v>9.8000000000000007</c:v>
                </c:pt>
                <c:pt idx="55">
                  <c:v>10.9</c:v>
                </c:pt>
                <c:pt idx="56">
                  <c:v>11.1</c:v>
                </c:pt>
                <c:pt idx="57">
                  <c:v>11.2</c:v>
                </c:pt>
                <c:pt idx="58">
                  <c:v>9.5</c:v>
                </c:pt>
                <c:pt idx="59">
                  <c:v>7.6</c:v>
                </c:pt>
                <c:pt idx="60">
                  <c:v>6.2</c:v>
                </c:pt>
                <c:pt idx="61">
                  <c:v>5.9</c:v>
                </c:pt>
                <c:pt idx="62">
                  <c:v>5.0999999999999996</c:v>
                </c:pt>
                <c:pt idx="63">
                  <c:v>4.8</c:v>
                </c:pt>
                <c:pt idx="64">
                  <c:v>4.5</c:v>
                </c:pt>
                <c:pt idx="65">
                  <c:v>4.2</c:v>
                </c:pt>
                <c:pt idx="66">
                  <c:v>4.2</c:v>
                </c:pt>
                <c:pt idx="67">
                  <c:v>4.2</c:v>
                </c:pt>
                <c:pt idx="68">
                  <c:v>4.2</c:v>
                </c:pt>
                <c:pt idx="69">
                  <c:v>3.8</c:v>
                </c:pt>
                <c:pt idx="70">
                  <c:v>3.9</c:v>
                </c:pt>
                <c:pt idx="71">
                  <c:v>3.6</c:v>
                </c:pt>
                <c:pt idx="72">
                  <c:v>3.8</c:v>
                </c:pt>
                <c:pt idx="73">
                  <c:v>3.9</c:v>
                </c:pt>
                <c:pt idx="74">
                  <c:v>4</c:v>
                </c:pt>
                <c:pt idx="75">
                  <c:v>4.2</c:v>
                </c:pt>
                <c:pt idx="76">
                  <c:v>4.7</c:v>
                </c:pt>
                <c:pt idx="77">
                  <c:v>6.2</c:v>
                </c:pt>
                <c:pt idx="78">
                  <c:v>7.7</c:v>
                </c:pt>
                <c:pt idx="79">
                  <c:v>7.9</c:v>
                </c:pt>
                <c:pt idx="80">
                  <c:v>8.8000000000000007</c:v>
                </c:pt>
                <c:pt idx="81">
                  <c:v>8.3000000000000007</c:v>
                </c:pt>
                <c:pt idx="82">
                  <c:v>7.1</c:v>
                </c:pt>
                <c:pt idx="83">
                  <c:v>7.4</c:v>
                </c:pt>
                <c:pt idx="84">
                  <c:v>5.8</c:v>
                </c:pt>
                <c:pt idx="85">
                  <c:v>4.8</c:v>
                </c:pt>
                <c:pt idx="86">
                  <c:v>3.7</c:v>
                </c:pt>
                <c:pt idx="87">
                  <c:v>3.3</c:v>
                </c:pt>
                <c:pt idx="88">
                  <c:v>2.9</c:v>
                </c:pt>
                <c:pt idx="89">
                  <c:v>2.6</c:v>
                </c:pt>
                <c:pt idx="90">
                  <c:v>2.5</c:v>
                </c:pt>
                <c:pt idx="91">
                  <c:v>2.2999999999999998</c:v>
                </c:pt>
                <c:pt idx="92">
                  <c:v>2.2000000000000002</c:v>
                </c:pt>
                <c:pt idx="93">
                  <c:v>2.4</c:v>
                </c:pt>
                <c:pt idx="94">
                  <c:v>2.2999999999999998</c:v>
                </c:pt>
                <c:pt idx="95">
                  <c:v>2.2000000000000002</c:v>
                </c:pt>
                <c:pt idx="96">
                  <c:v>2.1</c:v>
                </c:pt>
                <c:pt idx="97">
                  <c:v>2.2000000000000002</c:v>
                </c:pt>
                <c:pt idx="98">
                  <c:v>2.2000000000000002</c:v>
                </c:pt>
                <c:pt idx="99">
                  <c:v>2.4</c:v>
                </c:pt>
                <c:pt idx="100">
                  <c:v>2.5</c:v>
                </c:pt>
                <c:pt idx="101">
                  <c:v>2.5</c:v>
                </c:pt>
                <c:pt idx="102">
                  <c:v>2.9</c:v>
                </c:pt>
                <c:pt idx="103">
                  <c:v>3.9</c:v>
                </c:pt>
                <c:pt idx="104">
                  <c:v>4.4000000000000004</c:v>
                </c:pt>
                <c:pt idx="105">
                  <c:v>4.4000000000000004</c:v>
                </c:pt>
                <c:pt idx="106">
                  <c:v>4.4000000000000004</c:v>
                </c:pt>
                <c:pt idx="107">
                  <c:v>4.5</c:v>
                </c:pt>
                <c:pt idx="108">
                  <c:v>4.9000000000000004</c:v>
                </c:pt>
                <c:pt idx="109">
                  <c:v>4.3</c:v>
                </c:pt>
                <c:pt idx="110">
                  <c:v>3.3</c:v>
                </c:pt>
                <c:pt idx="111">
                  <c:v>3.2</c:v>
                </c:pt>
                <c:pt idx="112">
                  <c:v>2.5</c:v>
                </c:pt>
                <c:pt idx="113">
                  <c:v>2.5</c:v>
                </c:pt>
                <c:pt idx="114">
                  <c:v>2.2000000000000002</c:v>
                </c:pt>
                <c:pt idx="115">
                  <c:v>2.1</c:v>
                </c:pt>
                <c:pt idx="116">
                  <c:v>2</c:v>
                </c:pt>
                <c:pt idx="117">
                  <c:v>2</c:v>
                </c:pt>
                <c:pt idx="118">
                  <c:v>1.8</c:v>
                </c:pt>
                <c:pt idx="119">
                  <c:v>2</c:v>
                </c:pt>
                <c:pt idx="120">
                  <c:v>2.1</c:v>
                </c:pt>
                <c:pt idx="121">
                  <c:v>1.9000000000000001</c:v>
                </c:pt>
                <c:pt idx="122">
                  <c:v>1.9000000000000001</c:v>
                </c:pt>
                <c:pt idx="123">
                  <c:v>1.8</c:v>
                </c:pt>
                <c:pt idx="124">
                  <c:v>2</c:v>
                </c:pt>
                <c:pt idx="125">
                  <c:v>1.9000000000000001</c:v>
                </c:pt>
                <c:pt idx="126">
                  <c:v>2.2000000000000002</c:v>
                </c:pt>
                <c:pt idx="127">
                  <c:v>2.2999999999999998</c:v>
                </c:pt>
                <c:pt idx="128">
                  <c:v>2.6</c:v>
                </c:pt>
                <c:pt idx="129">
                  <c:v>3.2</c:v>
                </c:pt>
                <c:pt idx="130">
                  <c:v>4.2</c:v>
                </c:pt>
                <c:pt idx="131">
                  <c:v>4.3</c:v>
                </c:pt>
                <c:pt idx="132">
                  <c:v>4</c:v>
                </c:pt>
                <c:pt idx="133">
                  <c:v>4.2</c:v>
                </c:pt>
                <c:pt idx="134">
                  <c:v>3.9</c:v>
                </c:pt>
                <c:pt idx="135">
                  <c:v>3.8</c:v>
                </c:pt>
                <c:pt idx="136">
                  <c:v>3.5</c:v>
                </c:pt>
                <c:pt idx="137">
                  <c:v>3.1</c:v>
                </c:pt>
                <c:pt idx="138" formatCode="0.0">
                  <c:v>2.5</c:v>
                </c:pt>
                <c:pt idx="139" formatCode="0.0">
                  <c:v>2.4</c:v>
                </c:pt>
                <c:pt idx="140" formatCode="0.0">
                  <c:v>2</c:v>
                </c:pt>
                <c:pt idx="141" formatCode="0.0">
                  <c:v>2</c:v>
                </c:pt>
                <c:pt idx="142" formatCode="0.0">
                  <c:v>2</c:v>
                </c:pt>
                <c:pt idx="143" formatCode="0.0">
                  <c:v>1.9000000000000001</c:v>
                </c:pt>
                <c:pt idx="144" formatCode="0.0">
                  <c:v>1.9000000000000001</c:v>
                </c:pt>
                <c:pt idx="145" formatCode="0.0">
                  <c:v>1.9000000000000001</c:v>
                </c:pt>
                <c:pt idx="146" formatCode="0.0">
                  <c:v>2</c:v>
                </c:pt>
                <c:pt idx="147" formatCode="0.0">
                  <c:v>2.2000000000000002</c:v>
                </c:pt>
                <c:pt idx="148" formatCode="0.0">
                  <c:v>2.4</c:v>
                </c:pt>
                <c:pt idx="149" formatCode="0.0">
                  <c:v>2.4</c:v>
                </c:pt>
                <c:pt idx="150" formatCode="0.0">
                  <c:v>2.7</c:v>
                </c:pt>
                <c:pt idx="151" formatCode="0.0">
                  <c:v>3.2</c:v>
                </c:pt>
                <c:pt idx="152" formatCode="0.0">
                  <c:v>3.7</c:v>
                </c:pt>
                <c:pt idx="153" formatCode="0.0">
                  <c:v>4.4000000000000004</c:v>
                </c:pt>
                <c:pt idx="154" formatCode="0.0">
                  <c:v>5.3</c:v>
                </c:pt>
                <c:pt idx="155" formatCode="0.0">
                  <c:v>6</c:v>
                </c:pt>
                <c:pt idx="156">
                  <c:v>8.3000000000000007</c:v>
                </c:pt>
                <c:pt idx="157">
                  <c:v>9.7000000000000011</c:v>
                </c:pt>
                <c:pt idx="158">
                  <c:v>10.200000000000001</c:v>
                </c:pt>
                <c:pt idx="159">
                  <c:v>11.3</c:v>
                </c:pt>
                <c:pt idx="160">
                  <c:v>12.4</c:v>
                </c:pt>
                <c:pt idx="161">
                  <c:v>13</c:v>
                </c:pt>
                <c:pt idx="162">
                  <c:v>11.9</c:v>
                </c:pt>
                <c:pt idx="163">
                  <c:v>12.4</c:v>
                </c:pt>
                <c:pt idx="164">
                  <c:v>11</c:v>
                </c:pt>
                <c:pt idx="165">
                  <c:v>11.1</c:v>
                </c:pt>
                <c:pt idx="166">
                  <c:v>10.1</c:v>
                </c:pt>
                <c:pt idx="167" formatCode="0.0">
                  <c:v>10.3</c:v>
                </c:pt>
                <c:pt idx="168" formatCode="0.0">
                  <c:v>9.9</c:v>
                </c:pt>
                <c:pt idx="169" formatCode="0.0">
                  <c:v>9.1</c:v>
                </c:pt>
                <c:pt idx="170" formatCode="0.0">
                  <c:v>8</c:v>
                </c:pt>
                <c:pt idx="171" formatCode="0.0">
                  <c:v>8.4</c:v>
                </c:pt>
                <c:pt idx="172" formatCode="0.0">
                  <c:v>8.6</c:v>
                </c:pt>
                <c:pt idx="173" formatCode="0.0">
                  <c:v>8.3000000000000007</c:v>
                </c:pt>
                <c:pt idx="174" formatCode="0.0">
                  <c:v>8.6</c:v>
                </c:pt>
                <c:pt idx="175" formatCode="0.0">
                  <c:v>8.6</c:v>
                </c:pt>
                <c:pt idx="176" formatCode="0.0">
                  <c:v>9.1</c:v>
                </c:pt>
                <c:pt idx="177" formatCode="0.0">
                  <c:v>9.9</c:v>
                </c:pt>
                <c:pt idx="178" formatCode="0.0">
                  <c:v>10.5</c:v>
                </c:pt>
                <c:pt idx="179" formatCode="0.0">
                  <c:v>11.1</c:v>
                </c:pt>
                <c:pt idx="180" formatCode="0.0">
                  <c:v>12.1</c:v>
                </c:pt>
                <c:pt idx="181" formatCode="0.0">
                  <c:v>13.1</c:v>
                </c:pt>
              </c:numCache>
            </c:numRef>
          </c:val>
        </c:ser>
        <c:axId val="116634368"/>
        <c:axId val="116635904"/>
      </c:areaChart>
      <c:catAx>
        <c:axId val="116634368"/>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da-DK"/>
          </a:p>
        </c:txPr>
        <c:crossAx val="116635904"/>
        <c:crosses val="autoZero"/>
        <c:auto val="1"/>
        <c:lblAlgn val="ctr"/>
        <c:lblOffset val="100"/>
        <c:tickLblSkip val="1"/>
        <c:tickMarkSkip val="26"/>
      </c:catAx>
      <c:valAx>
        <c:axId val="116635904"/>
        <c:scaling>
          <c:orientation val="minMax"/>
          <c:max val="15"/>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16634368"/>
        <c:crosses val="autoZero"/>
        <c:crossBetween val="midCat"/>
        <c:majorUnit val="3"/>
      </c:valAx>
      <c:spPr>
        <a:noFill/>
        <a:ln w="25400">
          <a:noFill/>
        </a:ln>
      </c:spPr>
    </c:plotArea>
    <c:plotVisOnly val="1"/>
    <c:dispBlanksAs val="zero"/>
  </c:chart>
  <c:spPr>
    <a:noFill/>
    <a:ln w="9525">
      <a:noFill/>
    </a:ln>
  </c:spPr>
  <c:txPr>
    <a:bodyPr/>
    <a:lstStyle/>
    <a:p>
      <a:pPr>
        <a:defRPr sz="1000" b="0" i="0" u="none" strike="noStrike" baseline="0">
          <a:solidFill>
            <a:srgbClr val="000000"/>
          </a:solidFill>
          <a:latin typeface="Arial"/>
          <a:ea typeface="Arial"/>
          <a:cs typeface="Arial"/>
        </a:defRPr>
      </a:pPr>
      <a:endParaRPr lang="da-DK"/>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plotArea>
      <c:layout>
        <c:manualLayout>
          <c:layoutTarget val="inner"/>
          <c:xMode val="edge"/>
          <c:yMode val="edge"/>
          <c:x val="5.6073411677811727E-2"/>
          <c:y val="3.2181216478375123E-2"/>
          <c:w val="0.92749442751816946"/>
          <c:h val="0.93563756704325007"/>
        </c:manualLayout>
      </c:layout>
      <c:lineChart>
        <c:grouping val="standard"/>
        <c:ser>
          <c:idx val="0"/>
          <c:order val="0"/>
          <c:tx>
            <c:strRef>
              <c:f>'201011212373364599760KBYG445476'!$A$6</c:f>
              <c:strCache>
                <c:ptCount val="1"/>
                <c:pt idx="0">
                  <c:v>Sammensat konjunkturindikator</c:v>
                </c:pt>
              </c:strCache>
            </c:strRef>
          </c:tx>
          <c:marker>
            <c:symbol val="none"/>
          </c:marker>
          <c:cat>
            <c:strRef>
              <c:f>'201011212373364599760KBYG445476'!$BJ$5:$EO$5</c:f>
              <c:strCache>
                <c:ptCount val="84"/>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strCache>
            </c:strRef>
          </c:cat>
          <c:val>
            <c:numRef>
              <c:f>'201011212373364599760KBYG445476'!$BJ$6:$EO$6</c:f>
              <c:numCache>
                <c:formatCode>General</c:formatCode>
                <c:ptCount val="84"/>
                <c:pt idx="0">
                  <c:v>-21</c:v>
                </c:pt>
                <c:pt idx="1">
                  <c:v>-20</c:v>
                </c:pt>
                <c:pt idx="2">
                  <c:v>-23</c:v>
                </c:pt>
                <c:pt idx="3">
                  <c:v>-25</c:v>
                </c:pt>
                <c:pt idx="4">
                  <c:v>-23</c:v>
                </c:pt>
                <c:pt idx="5">
                  <c:v>-19</c:v>
                </c:pt>
                <c:pt idx="6">
                  <c:v>-16</c:v>
                </c:pt>
                <c:pt idx="7">
                  <c:v>-11</c:v>
                </c:pt>
                <c:pt idx="8">
                  <c:v>-16</c:v>
                </c:pt>
                <c:pt idx="9">
                  <c:v>-16</c:v>
                </c:pt>
                <c:pt idx="10">
                  <c:v>-15</c:v>
                </c:pt>
                <c:pt idx="11">
                  <c:v>-17</c:v>
                </c:pt>
                <c:pt idx="12">
                  <c:v>-15</c:v>
                </c:pt>
                <c:pt idx="13">
                  <c:v>-12</c:v>
                </c:pt>
                <c:pt idx="14">
                  <c:v>-8</c:v>
                </c:pt>
                <c:pt idx="15">
                  <c:v>-6</c:v>
                </c:pt>
                <c:pt idx="16">
                  <c:v>-3</c:v>
                </c:pt>
                <c:pt idx="17">
                  <c:v>-5</c:v>
                </c:pt>
                <c:pt idx="18">
                  <c:v>-5</c:v>
                </c:pt>
                <c:pt idx="19">
                  <c:v>-2</c:v>
                </c:pt>
                <c:pt idx="20">
                  <c:v>-1</c:v>
                </c:pt>
                <c:pt idx="21">
                  <c:v>-3</c:v>
                </c:pt>
                <c:pt idx="22">
                  <c:v>-2</c:v>
                </c:pt>
                <c:pt idx="23">
                  <c:v>1</c:v>
                </c:pt>
                <c:pt idx="24">
                  <c:v>-1</c:v>
                </c:pt>
                <c:pt idx="25">
                  <c:v>1</c:v>
                </c:pt>
                <c:pt idx="26">
                  <c:v>3</c:v>
                </c:pt>
                <c:pt idx="27">
                  <c:v>5</c:v>
                </c:pt>
                <c:pt idx="28">
                  <c:v>8</c:v>
                </c:pt>
                <c:pt idx="29">
                  <c:v>6</c:v>
                </c:pt>
                <c:pt idx="30">
                  <c:v>5</c:v>
                </c:pt>
                <c:pt idx="31">
                  <c:v>5</c:v>
                </c:pt>
                <c:pt idx="32">
                  <c:v>6</c:v>
                </c:pt>
                <c:pt idx="33">
                  <c:v>14</c:v>
                </c:pt>
                <c:pt idx="34">
                  <c:v>15</c:v>
                </c:pt>
                <c:pt idx="35">
                  <c:v>16</c:v>
                </c:pt>
                <c:pt idx="36">
                  <c:v>20</c:v>
                </c:pt>
                <c:pt idx="37">
                  <c:v>20</c:v>
                </c:pt>
                <c:pt idx="38">
                  <c:v>19</c:v>
                </c:pt>
                <c:pt idx="39">
                  <c:v>22</c:v>
                </c:pt>
                <c:pt idx="40">
                  <c:v>24</c:v>
                </c:pt>
                <c:pt idx="41">
                  <c:v>23</c:v>
                </c:pt>
                <c:pt idx="42">
                  <c:v>22</c:v>
                </c:pt>
                <c:pt idx="43">
                  <c:v>20</c:v>
                </c:pt>
                <c:pt idx="44">
                  <c:v>21</c:v>
                </c:pt>
                <c:pt idx="45">
                  <c:v>21</c:v>
                </c:pt>
                <c:pt idx="46">
                  <c:v>23</c:v>
                </c:pt>
                <c:pt idx="47">
                  <c:v>20</c:v>
                </c:pt>
                <c:pt idx="48">
                  <c:v>22</c:v>
                </c:pt>
                <c:pt idx="49">
                  <c:v>14</c:v>
                </c:pt>
                <c:pt idx="50">
                  <c:v>12</c:v>
                </c:pt>
                <c:pt idx="51">
                  <c:v>8</c:v>
                </c:pt>
                <c:pt idx="52">
                  <c:v>6</c:v>
                </c:pt>
                <c:pt idx="53">
                  <c:v>6</c:v>
                </c:pt>
                <c:pt idx="54">
                  <c:v>6</c:v>
                </c:pt>
                <c:pt idx="55">
                  <c:v>6</c:v>
                </c:pt>
                <c:pt idx="56">
                  <c:v>8</c:v>
                </c:pt>
                <c:pt idx="57">
                  <c:v>8</c:v>
                </c:pt>
                <c:pt idx="58">
                  <c:v>5</c:v>
                </c:pt>
                <c:pt idx="59">
                  <c:v>3</c:v>
                </c:pt>
                <c:pt idx="60">
                  <c:v>1</c:v>
                </c:pt>
                <c:pt idx="61">
                  <c:v>0</c:v>
                </c:pt>
                <c:pt idx="62">
                  <c:v>-3</c:v>
                </c:pt>
                <c:pt idx="63">
                  <c:v>-5</c:v>
                </c:pt>
                <c:pt idx="64">
                  <c:v>-10</c:v>
                </c:pt>
                <c:pt idx="65">
                  <c:v>-15</c:v>
                </c:pt>
                <c:pt idx="66">
                  <c:v>-14</c:v>
                </c:pt>
                <c:pt idx="67">
                  <c:v>-17</c:v>
                </c:pt>
                <c:pt idx="68">
                  <c:v>-24</c:v>
                </c:pt>
                <c:pt idx="69">
                  <c:v>-28</c:v>
                </c:pt>
                <c:pt idx="70">
                  <c:v>-33</c:v>
                </c:pt>
                <c:pt idx="71">
                  <c:v>-36</c:v>
                </c:pt>
                <c:pt idx="72">
                  <c:v>-40</c:v>
                </c:pt>
                <c:pt idx="73">
                  <c:v>-42</c:v>
                </c:pt>
                <c:pt idx="74">
                  <c:v>-45</c:v>
                </c:pt>
                <c:pt idx="75">
                  <c:v>-45</c:v>
                </c:pt>
                <c:pt idx="76">
                  <c:v>-43</c:v>
                </c:pt>
                <c:pt idx="77">
                  <c:v>-41</c:v>
                </c:pt>
                <c:pt idx="78">
                  <c:v>-44</c:v>
                </c:pt>
                <c:pt idx="79">
                  <c:v>-44</c:v>
                </c:pt>
                <c:pt idx="80">
                  <c:v>-47</c:v>
                </c:pt>
                <c:pt idx="81">
                  <c:v>-48</c:v>
                </c:pt>
                <c:pt idx="82">
                  <c:v>-42</c:v>
                </c:pt>
                <c:pt idx="83">
                  <c:v>-40</c:v>
                </c:pt>
              </c:numCache>
            </c:numRef>
          </c:val>
        </c:ser>
        <c:ser>
          <c:idx val="3"/>
          <c:order val="1"/>
          <c:tx>
            <c:strRef>
              <c:f>'201011212373364599760KBYG445476'!$A$9</c:f>
              <c:strCache>
                <c:ptCount val="1"/>
                <c:pt idx="0">
                  <c:v>Beskæftigelsesforventninger</c:v>
                </c:pt>
              </c:strCache>
            </c:strRef>
          </c:tx>
          <c:spPr>
            <a:ln>
              <a:solidFill>
                <a:schemeClr val="accent2">
                  <a:lumMod val="75000"/>
                </a:schemeClr>
              </a:solidFill>
            </a:ln>
          </c:spPr>
          <c:marker>
            <c:symbol val="none"/>
          </c:marker>
          <c:cat>
            <c:strRef>
              <c:f>'201011212373364599760KBYG445476'!$BJ$5:$EO$5</c:f>
              <c:strCache>
                <c:ptCount val="84"/>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strCache>
            </c:strRef>
          </c:cat>
          <c:val>
            <c:numRef>
              <c:f>'201011212373364599760KBYG445476'!$BJ$9:$EO$9</c:f>
              <c:numCache>
                <c:formatCode>General</c:formatCode>
                <c:ptCount val="84"/>
                <c:pt idx="0">
                  <c:v>-15</c:v>
                </c:pt>
                <c:pt idx="1">
                  <c:v>-14</c:v>
                </c:pt>
                <c:pt idx="2">
                  <c:v>-17</c:v>
                </c:pt>
                <c:pt idx="3">
                  <c:v>-16</c:v>
                </c:pt>
                <c:pt idx="4">
                  <c:v>-16</c:v>
                </c:pt>
                <c:pt idx="5">
                  <c:v>-14</c:v>
                </c:pt>
                <c:pt idx="6">
                  <c:v>-8</c:v>
                </c:pt>
                <c:pt idx="7">
                  <c:v>-5</c:v>
                </c:pt>
                <c:pt idx="8">
                  <c:v>-8</c:v>
                </c:pt>
                <c:pt idx="9">
                  <c:v>-10</c:v>
                </c:pt>
                <c:pt idx="10">
                  <c:v>-9</c:v>
                </c:pt>
                <c:pt idx="11">
                  <c:v>-15</c:v>
                </c:pt>
                <c:pt idx="12">
                  <c:v>-10</c:v>
                </c:pt>
                <c:pt idx="13">
                  <c:v>-10</c:v>
                </c:pt>
                <c:pt idx="14">
                  <c:v>-5</c:v>
                </c:pt>
                <c:pt idx="15">
                  <c:v>-1</c:v>
                </c:pt>
                <c:pt idx="16">
                  <c:v>-1</c:v>
                </c:pt>
                <c:pt idx="17">
                  <c:v>-1</c:v>
                </c:pt>
                <c:pt idx="18">
                  <c:v>-1</c:v>
                </c:pt>
                <c:pt idx="19">
                  <c:v>0</c:v>
                </c:pt>
                <c:pt idx="20">
                  <c:v>0</c:v>
                </c:pt>
                <c:pt idx="21">
                  <c:v>-2</c:v>
                </c:pt>
                <c:pt idx="22">
                  <c:v>-1</c:v>
                </c:pt>
                <c:pt idx="23">
                  <c:v>-2</c:v>
                </c:pt>
                <c:pt idx="24">
                  <c:v>1</c:v>
                </c:pt>
                <c:pt idx="25">
                  <c:v>3</c:v>
                </c:pt>
                <c:pt idx="26">
                  <c:v>4</c:v>
                </c:pt>
                <c:pt idx="27">
                  <c:v>5</c:v>
                </c:pt>
                <c:pt idx="28">
                  <c:v>6</c:v>
                </c:pt>
                <c:pt idx="29">
                  <c:v>4</c:v>
                </c:pt>
                <c:pt idx="30">
                  <c:v>4</c:v>
                </c:pt>
                <c:pt idx="31">
                  <c:v>4</c:v>
                </c:pt>
                <c:pt idx="32">
                  <c:v>6</c:v>
                </c:pt>
                <c:pt idx="33">
                  <c:v>11</c:v>
                </c:pt>
                <c:pt idx="34">
                  <c:v>11</c:v>
                </c:pt>
                <c:pt idx="35">
                  <c:v>11</c:v>
                </c:pt>
                <c:pt idx="36">
                  <c:v>10</c:v>
                </c:pt>
                <c:pt idx="37">
                  <c:v>12</c:v>
                </c:pt>
                <c:pt idx="38">
                  <c:v>14</c:v>
                </c:pt>
                <c:pt idx="39">
                  <c:v>15</c:v>
                </c:pt>
                <c:pt idx="40">
                  <c:v>15</c:v>
                </c:pt>
                <c:pt idx="41">
                  <c:v>17</c:v>
                </c:pt>
                <c:pt idx="42">
                  <c:v>12</c:v>
                </c:pt>
                <c:pt idx="43">
                  <c:v>14</c:v>
                </c:pt>
                <c:pt idx="44">
                  <c:v>14</c:v>
                </c:pt>
                <c:pt idx="45">
                  <c:v>13</c:v>
                </c:pt>
                <c:pt idx="46">
                  <c:v>15</c:v>
                </c:pt>
                <c:pt idx="47">
                  <c:v>14</c:v>
                </c:pt>
                <c:pt idx="48">
                  <c:v>12</c:v>
                </c:pt>
                <c:pt idx="49">
                  <c:v>7</c:v>
                </c:pt>
                <c:pt idx="50">
                  <c:v>4</c:v>
                </c:pt>
                <c:pt idx="51">
                  <c:v>0</c:v>
                </c:pt>
                <c:pt idx="52">
                  <c:v>-6</c:v>
                </c:pt>
                <c:pt idx="53">
                  <c:v>-1</c:v>
                </c:pt>
                <c:pt idx="54">
                  <c:v>3</c:v>
                </c:pt>
                <c:pt idx="55">
                  <c:v>2</c:v>
                </c:pt>
                <c:pt idx="56">
                  <c:v>7</c:v>
                </c:pt>
                <c:pt idx="57">
                  <c:v>4</c:v>
                </c:pt>
                <c:pt idx="58">
                  <c:v>2</c:v>
                </c:pt>
                <c:pt idx="59">
                  <c:v>0</c:v>
                </c:pt>
                <c:pt idx="60">
                  <c:v>-1</c:v>
                </c:pt>
                <c:pt idx="61">
                  <c:v>-1</c:v>
                </c:pt>
                <c:pt idx="62">
                  <c:v>-4</c:v>
                </c:pt>
                <c:pt idx="63">
                  <c:v>-6</c:v>
                </c:pt>
                <c:pt idx="64">
                  <c:v>-14</c:v>
                </c:pt>
                <c:pt idx="65">
                  <c:v>-12</c:v>
                </c:pt>
                <c:pt idx="66">
                  <c:v>-12</c:v>
                </c:pt>
                <c:pt idx="67">
                  <c:v>-17</c:v>
                </c:pt>
                <c:pt idx="68">
                  <c:v>-22</c:v>
                </c:pt>
                <c:pt idx="69">
                  <c:v>-23</c:v>
                </c:pt>
                <c:pt idx="70">
                  <c:v>-29</c:v>
                </c:pt>
                <c:pt idx="71">
                  <c:v>-31</c:v>
                </c:pt>
                <c:pt idx="72">
                  <c:v>-33</c:v>
                </c:pt>
                <c:pt idx="73">
                  <c:v>-36</c:v>
                </c:pt>
                <c:pt idx="74">
                  <c:v>-36</c:v>
                </c:pt>
                <c:pt idx="75">
                  <c:v>-34</c:v>
                </c:pt>
                <c:pt idx="76">
                  <c:v>-33</c:v>
                </c:pt>
                <c:pt idx="77">
                  <c:v>-28</c:v>
                </c:pt>
                <c:pt idx="78">
                  <c:v>-32</c:v>
                </c:pt>
                <c:pt idx="79">
                  <c:v>-31</c:v>
                </c:pt>
                <c:pt idx="80">
                  <c:v>-32</c:v>
                </c:pt>
                <c:pt idx="81">
                  <c:v>-32</c:v>
                </c:pt>
                <c:pt idx="82">
                  <c:v>-29</c:v>
                </c:pt>
                <c:pt idx="83">
                  <c:v>-25</c:v>
                </c:pt>
              </c:numCache>
            </c:numRef>
          </c:val>
        </c:ser>
        <c:ser>
          <c:idx val="4"/>
          <c:order val="2"/>
          <c:tx>
            <c:strRef>
              <c:f>'201011212373364599760KBYG445476'!$A$10</c:f>
              <c:strCache>
                <c:ptCount val="1"/>
                <c:pt idx="0">
                  <c:v>Ordrebeholdning</c:v>
                </c:pt>
              </c:strCache>
            </c:strRef>
          </c:tx>
          <c:marker>
            <c:symbol val="none"/>
          </c:marker>
          <c:cat>
            <c:strRef>
              <c:f>'201011212373364599760KBYG445476'!$BJ$5:$EO$5</c:f>
              <c:strCache>
                <c:ptCount val="84"/>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strCache>
            </c:strRef>
          </c:cat>
          <c:val>
            <c:numRef>
              <c:f>'201011212373364599760KBYG445476'!$BJ$10:$EO$10</c:f>
              <c:numCache>
                <c:formatCode>General</c:formatCode>
                <c:ptCount val="84"/>
                <c:pt idx="0">
                  <c:v>-25</c:v>
                </c:pt>
                <c:pt idx="1">
                  <c:v>-27</c:v>
                </c:pt>
                <c:pt idx="2">
                  <c:v>-29</c:v>
                </c:pt>
                <c:pt idx="3">
                  <c:v>-32</c:v>
                </c:pt>
                <c:pt idx="4">
                  <c:v>-31</c:v>
                </c:pt>
                <c:pt idx="5">
                  <c:v>-25</c:v>
                </c:pt>
                <c:pt idx="6">
                  <c:v>-25</c:v>
                </c:pt>
                <c:pt idx="7">
                  <c:v>-16</c:v>
                </c:pt>
                <c:pt idx="8">
                  <c:v>-23</c:v>
                </c:pt>
                <c:pt idx="9">
                  <c:v>-21</c:v>
                </c:pt>
                <c:pt idx="10">
                  <c:v>-18</c:v>
                </c:pt>
                <c:pt idx="11">
                  <c:v>-20</c:v>
                </c:pt>
                <c:pt idx="12">
                  <c:v>-19</c:v>
                </c:pt>
                <c:pt idx="13">
                  <c:v>-14</c:v>
                </c:pt>
                <c:pt idx="14">
                  <c:v>-12</c:v>
                </c:pt>
                <c:pt idx="15">
                  <c:v>-12</c:v>
                </c:pt>
                <c:pt idx="16">
                  <c:v>-8</c:v>
                </c:pt>
                <c:pt idx="17">
                  <c:v>-9</c:v>
                </c:pt>
                <c:pt idx="18">
                  <c:v>-8</c:v>
                </c:pt>
                <c:pt idx="19">
                  <c:v>-3</c:v>
                </c:pt>
                <c:pt idx="20">
                  <c:v>-2</c:v>
                </c:pt>
                <c:pt idx="21">
                  <c:v>-4</c:v>
                </c:pt>
                <c:pt idx="22">
                  <c:v>-1</c:v>
                </c:pt>
                <c:pt idx="23">
                  <c:v>2</c:v>
                </c:pt>
                <c:pt idx="24">
                  <c:v>1</c:v>
                </c:pt>
                <c:pt idx="25">
                  <c:v>0</c:v>
                </c:pt>
                <c:pt idx="26">
                  <c:v>3</c:v>
                </c:pt>
                <c:pt idx="27">
                  <c:v>4</c:v>
                </c:pt>
                <c:pt idx="28">
                  <c:v>8</c:v>
                </c:pt>
                <c:pt idx="29">
                  <c:v>9</c:v>
                </c:pt>
                <c:pt idx="30">
                  <c:v>7</c:v>
                </c:pt>
                <c:pt idx="31">
                  <c:v>8</c:v>
                </c:pt>
                <c:pt idx="32">
                  <c:v>5</c:v>
                </c:pt>
                <c:pt idx="33">
                  <c:v>19</c:v>
                </c:pt>
                <c:pt idx="34">
                  <c:v>19</c:v>
                </c:pt>
                <c:pt idx="35">
                  <c:v>20</c:v>
                </c:pt>
                <c:pt idx="36">
                  <c:v>31</c:v>
                </c:pt>
                <c:pt idx="37">
                  <c:v>27</c:v>
                </c:pt>
                <c:pt idx="38">
                  <c:v>23</c:v>
                </c:pt>
                <c:pt idx="39">
                  <c:v>28</c:v>
                </c:pt>
                <c:pt idx="40">
                  <c:v>30</c:v>
                </c:pt>
                <c:pt idx="41">
                  <c:v>29</c:v>
                </c:pt>
                <c:pt idx="42">
                  <c:v>33</c:v>
                </c:pt>
                <c:pt idx="43">
                  <c:v>27</c:v>
                </c:pt>
                <c:pt idx="44">
                  <c:v>28</c:v>
                </c:pt>
                <c:pt idx="45">
                  <c:v>30</c:v>
                </c:pt>
                <c:pt idx="46">
                  <c:v>30</c:v>
                </c:pt>
                <c:pt idx="47">
                  <c:v>26</c:v>
                </c:pt>
                <c:pt idx="48">
                  <c:v>31</c:v>
                </c:pt>
                <c:pt idx="49">
                  <c:v>21</c:v>
                </c:pt>
                <c:pt idx="50">
                  <c:v>21</c:v>
                </c:pt>
                <c:pt idx="51">
                  <c:v>17</c:v>
                </c:pt>
                <c:pt idx="52">
                  <c:v>15</c:v>
                </c:pt>
                <c:pt idx="53">
                  <c:v>14</c:v>
                </c:pt>
                <c:pt idx="54">
                  <c:v>10</c:v>
                </c:pt>
                <c:pt idx="55">
                  <c:v>10</c:v>
                </c:pt>
                <c:pt idx="56">
                  <c:v>10</c:v>
                </c:pt>
                <c:pt idx="57">
                  <c:v>12</c:v>
                </c:pt>
                <c:pt idx="58">
                  <c:v>6</c:v>
                </c:pt>
                <c:pt idx="59">
                  <c:v>6</c:v>
                </c:pt>
                <c:pt idx="60">
                  <c:v>2</c:v>
                </c:pt>
                <c:pt idx="61">
                  <c:v>0</c:v>
                </c:pt>
                <c:pt idx="62">
                  <c:v>-1</c:v>
                </c:pt>
                <c:pt idx="63">
                  <c:v>-3</c:v>
                </c:pt>
                <c:pt idx="64">
                  <c:v>-8</c:v>
                </c:pt>
                <c:pt idx="65">
                  <c:v>-18</c:v>
                </c:pt>
                <c:pt idx="66">
                  <c:v>-16</c:v>
                </c:pt>
                <c:pt idx="67">
                  <c:v>-18</c:v>
                </c:pt>
                <c:pt idx="68">
                  <c:v>-24</c:v>
                </c:pt>
                <c:pt idx="69">
                  <c:v>-33</c:v>
                </c:pt>
                <c:pt idx="70">
                  <c:v>-38</c:v>
                </c:pt>
                <c:pt idx="71">
                  <c:v>-41</c:v>
                </c:pt>
                <c:pt idx="72">
                  <c:v>-47</c:v>
                </c:pt>
                <c:pt idx="73">
                  <c:v>-48</c:v>
                </c:pt>
                <c:pt idx="74">
                  <c:v>-55</c:v>
                </c:pt>
                <c:pt idx="75">
                  <c:v>-55</c:v>
                </c:pt>
                <c:pt idx="76">
                  <c:v>-56</c:v>
                </c:pt>
                <c:pt idx="77">
                  <c:v>-54</c:v>
                </c:pt>
                <c:pt idx="78">
                  <c:v>-57</c:v>
                </c:pt>
                <c:pt idx="79">
                  <c:v>-58</c:v>
                </c:pt>
                <c:pt idx="80">
                  <c:v>-62</c:v>
                </c:pt>
                <c:pt idx="81">
                  <c:v>-63</c:v>
                </c:pt>
                <c:pt idx="82">
                  <c:v>-57</c:v>
                </c:pt>
                <c:pt idx="83">
                  <c:v>-54</c:v>
                </c:pt>
              </c:numCache>
            </c:numRef>
          </c:val>
        </c:ser>
        <c:marker val="1"/>
        <c:axId val="116733056"/>
        <c:axId val="116734592"/>
      </c:lineChart>
      <c:catAx>
        <c:axId val="116733056"/>
        <c:scaling>
          <c:orientation val="minMax"/>
        </c:scaling>
        <c:axPos val="b"/>
        <c:tickLblPos val="nextTo"/>
        <c:crossAx val="116734592"/>
        <c:crosses val="autoZero"/>
        <c:auto val="1"/>
        <c:lblAlgn val="ctr"/>
        <c:lblOffset val="100"/>
      </c:catAx>
      <c:valAx>
        <c:axId val="116734592"/>
        <c:scaling>
          <c:orientation val="minMax"/>
          <c:max val="40"/>
          <c:min val="-70"/>
        </c:scaling>
        <c:axPos val="l"/>
        <c:majorGridlines/>
        <c:numFmt formatCode="General" sourceLinked="1"/>
        <c:tickLblPos val="nextTo"/>
        <c:txPr>
          <a:bodyPr/>
          <a:lstStyle/>
          <a:p>
            <a:pPr>
              <a:defRPr sz="1100"/>
            </a:pPr>
            <a:endParaRPr lang="da-DK"/>
          </a:p>
        </c:txPr>
        <c:crossAx val="116733056"/>
        <c:crosses val="autoZero"/>
        <c:crossBetween val="between"/>
        <c:majorUnit val="10"/>
      </c:valAx>
      <c:spPr>
        <a:ln>
          <a:noFill/>
        </a:ln>
      </c:spPr>
    </c:plotArea>
    <c:legend>
      <c:legendPos val="r"/>
      <c:layout>
        <c:manualLayout>
          <c:xMode val="edge"/>
          <c:yMode val="edge"/>
          <c:x val="8.4070351758794043E-2"/>
          <c:y val="0.74227661759671482"/>
          <c:w val="0.45542071818735913"/>
          <c:h val="0.19950473582106612"/>
        </c:manualLayout>
      </c:layout>
      <c:txPr>
        <a:bodyPr/>
        <a:lstStyle/>
        <a:p>
          <a:pPr>
            <a:defRPr sz="1200"/>
          </a:pPr>
          <a:endParaRPr lang="da-DK"/>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da-DK"/>
  <c:chart>
    <c:autoTitleDeleted val="1"/>
    <c:plotArea>
      <c:layout>
        <c:manualLayout>
          <c:layoutTarget val="inner"/>
          <c:xMode val="edge"/>
          <c:yMode val="edge"/>
          <c:x val="4.5280959198281998E-2"/>
          <c:y val="8.1218274111675079E-2"/>
          <c:w val="0.88776798496778753"/>
          <c:h val="0.79864636209814055"/>
        </c:manualLayout>
      </c:layout>
      <c:lineChart>
        <c:grouping val="standard"/>
        <c:ser>
          <c:idx val="2"/>
          <c:order val="0"/>
          <c:tx>
            <c:strRef>
              <c:f>Tal!$AS$14</c:f>
              <c:strCache>
                <c:ptCount val="1"/>
                <c:pt idx="0">
                  <c:v>årlig lønstigning (DA), arbejdere i b&amp;a</c:v>
                </c:pt>
              </c:strCache>
            </c:strRef>
          </c:tx>
          <c:spPr>
            <a:ln w="38100">
              <a:solidFill>
                <a:srgbClr val="FF0000"/>
              </a:solidFill>
              <a:prstDash val="solid"/>
            </a:ln>
          </c:spPr>
          <c:marker>
            <c:symbol val="none"/>
          </c:marker>
          <c:cat>
            <c:strRef>
              <c:f>Tal!$N$2:$AQ$2</c:f>
              <c:strCache>
                <c:ptCount val="30"/>
                <c:pt idx="0">
                  <c:v>2002K1</c:v>
                </c:pt>
                <c:pt idx="1">
                  <c:v>2002K2</c:v>
                </c:pt>
                <c:pt idx="2">
                  <c:v>2002K3</c:v>
                </c:pt>
                <c:pt idx="3">
                  <c:v>2002K4</c:v>
                </c:pt>
                <c:pt idx="4">
                  <c:v>2003K1</c:v>
                </c:pt>
                <c:pt idx="5">
                  <c:v>2003K2</c:v>
                </c:pt>
                <c:pt idx="6">
                  <c:v>2003K3</c:v>
                </c:pt>
                <c:pt idx="7">
                  <c:v>2003K4</c:v>
                </c:pt>
                <c:pt idx="8">
                  <c:v>2004K1</c:v>
                </c:pt>
                <c:pt idx="9">
                  <c:v>2004K2</c:v>
                </c:pt>
                <c:pt idx="10">
                  <c:v>2004K3</c:v>
                </c:pt>
                <c:pt idx="11">
                  <c:v>2004K4</c:v>
                </c:pt>
                <c:pt idx="12">
                  <c:v>2005K1</c:v>
                </c:pt>
                <c:pt idx="13">
                  <c:v>2005K2</c:v>
                </c:pt>
                <c:pt idx="14">
                  <c:v>2005K3</c:v>
                </c:pt>
                <c:pt idx="15">
                  <c:v>2005K4</c:v>
                </c:pt>
                <c:pt idx="16">
                  <c:v>2006K1</c:v>
                </c:pt>
                <c:pt idx="17">
                  <c:v>2006K2</c:v>
                </c:pt>
                <c:pt idx="18">
                  <c:v>2006K3</c:v>
                </c:pt>
                <c:pt idx="19">
                  <c:v>2006K4</c:v>
                </c:pt>
                <c:pt idx="20">
                  <c:v>2007K1</c:v>
                </c:pt>
                <c:pt idx="21">
                  <c:v>2007K2</c:v>
                </c:pt>
                <c:pt idx="22">
                  <c:v>2007K3</c:v>
                </c:pt>
                <c:pt idx="23">
                  <c:v>2007K4</c:v>
                </c:pt>
                <c:pt idx="24">
                  <c:v>2008K1</c:v>
                </c:pt>
                <c:pt idx="25">
                  <c:v>2008K2</c:v>
                </c:pt>
                <c:pt idx="26">
                  <c:v>2008K3</c:v>
                </c:pt>
                <c:pt idx="27">
                  <c:v>2008K4</c:v>
                </c:pt>
                <c:pt idx="28">
                  <c:v>2009K1</c:v>
                </c:pt>
                <c:pt idx="29">
                  <c:v>2009K2</c:v>
                </c:pt>
              </c:strCache>
            </c:strRef>
          </c:cat>
          <c:val>
            <c:numRef>
              <c:f>Tal!$N$14:$AR$14</c:f>
              <c:numCache>
                <c:formatCode>General</c:formatCode>
                <c:ptCount val="31"/>
                <c:pt idx="0">
                  <c:v>3.3</c:v>
                </c:pt>
                <c:pt idx="1">
                  <c:v>4.4000000000000004</c:v>
                </c:pt>
                <c:pt idx="2">
                  <c:v>4.5999999999999996</c:v>
                </c:pt>
                <c:pt idx="3">
                  <c:v>3.4</c:v>
                </c:pt>
                <c:pt idx="4">
                  <c:v>1.7</c:v>
                </c:pt>
                <c:pt idx="5">
                  <c:v>-0.2</c:v>
                </c:pt>
                <c:pt idx="6">
                  <c:v>-0.1</c:v>
                </c:pt>
                <c:pt idx="7">
                  <c:v>0.5</c:v>
                </c:pt>
                <c:pt idx="8">
                  <c:v>2.2000000000000002</c:v>
                </c:pt>
                <c:pt idx="9">
                  <c:v>2.4</c:v>
                </c:pt>
                <c:pt idx="10">
                  <c:v>2.6</c:v>
                </c:pt>
                <c:pt idx="11">
                  <c:v>3.2</c:v>
                </c:pt>
                <c:pt idx="12">
                  <c:v>3.3</c:v>
                </c:pt>
                <c:pt idx="13">
                  <c:v>3.3</c:v>
                </c:pt>
                <c:pt idx="14">
                  <c:v>2.7</c:v>
                </c:pt>
                <c:pt idx="15">
                  <c:v>3.6</c:v>
                </c:pt>
                <c:pt idx="16">
                  <c:v>3.5</c:v>
                </c:pt>
                <c:pt idx="17">
                  <c:v>4.7</c:v>
                </c:pt>
                <c:pt idx="18">
                  <c:v>4.8</c:v>
                </c:pt>
                <c:pt idx="19">
                  <c:v>4</c:v>
                </c:pt>
                <c:pt idx="20">
                  <c:v>3.8</c:v>
                </c:pt>
                <c:pt idx="21">
                  <c:v>5.2</c:v>
                </c:pt>
                <c:pt idx="22" formatCode="0.0">
                  <c:v>5</c:v>
                </c:pt>
                <c:pt idx="23">
                  <c:v>5.6</c:v>
                </c:pt>
                <c:pt idx="24">
                  <c:v>5.7</c:v>
                </c:pt>
                <c:pt idx="25" formatCode="0.0">
                  <c:v>4</c:v>
                </c:pt>
                <c:pt idx="26" formatCode="0.0">
                  <c:v>4.0999999999999996</c:v>
                </c:pt>
                <c:pt idx="27" formatCode="0.0">
                  <c:v>3.4</c:v>
                </c:pt>
                <c:pt idx="28" formatCode="0.0">
                  <c:v>3.7</c:v>
                </c:pt>
                <c:pt idx="29" formatCode="0.0">
                  <c:v>2.2000000000000002</c:v>
                </c:pt>
                <c:pt idx="30" formatCode="0.0">
                  <c:v>0.60000000000000042</c:v>
                </c:pt>
              </c:numCache>
            </c:numRef>
          </c:val>
          <c:smooth val="1"/>
        </c:ser>
        <c:ser>
          <c:idx val="1"/>
          <c:order val="1"/>
          <c:tx>
            <c:strRef>
              <c:f>Tal!$AS$12</c:f>
              <c:strCache>
                <c:ptCount val="1"/>
                <c:pt idx="0">
                  <c:v>årlig lønstigning (DA), arbejdere i service</c:v>
                </c:pt>
              </c:strCache>
            </c:strRef>
          </c:tx>
          <c:spPr>
            <a:ln w="38100">
              <a:solidFill>
                <a:schemeClr val="tx2"/>
              </a:solidFill>
            </a:ln>
          </c:spPr>
          <c:marker>
            <c:symbol val="none"/>
          </c:marker>
          <c:val>
            <c:numRef>
              <c:f>Tal!$N$12:$AR$12</c:f>
              <c:numCache>
                <c:formatCode>General</c:formatCode>
                <c:ptCount val="31"/>
                <c:pt idx="9" formatCode="0.0">
                  <c:v>3.5</c:v>
                </c:pt>
                <c:pt idx="10" formatCode="0.0">
                  <c:v>3.2</c:v>
                </c:pt>
                <c:pt idx="11" formatCode="0.0">
                  <c:v>2</c:v>
                </c:pt>
                <c:pt idx="12" formatCode="0.0">
                  <c:v>2.9</c:v>
                </c:pt>
                <c:pt idx="13" formatCode="0.0">
                  <c:v>2.7</c:v>
                </c:pt>
                <c:pt idx="14" formatCode="0.0">
                  <c:v>2.9</c:v>
                </c:pt>
                <c:pt idx="15" formatCode="0.0">
                  <c:v>3.4</c:v>
                </c:pt>
                <c:pt idx="16" formatCode="0.0">
                  <c:v>3.5</c:v>
                </c:pt>
                <c:pt idx="17" formatCode="0.0">
                  <c:v>3.3</c:v>
                </c:pt>
                <c:pt idx="18" formatCode="0.0">
                  <c:v>3.8</c:v>
                </c:pt>
                <c:pt idx="19" formatCode="0.0">
                  <c:v>3.7</c:v>
                </c:pt>
                <c:pt idx="20" formatCode="0.0">
                  <c:v>3.5</c:v>
                </c:pt>
                <c:pt idx="21" formatCode="0.0">
                  <c:v>4.5</c:v>
                </c:pt>
                <c:pt idx="22" formatCode="0.0">
                  <c:v>4.4000000000000004</c:v>
                </c:pt>
                <c:pt idx="23" formatCode="0.0">
                  <c:v>5.2</c:v>
                </c:pt>
                <c:pt idx="24" formatCode="0.0">
                  <c:v>5.3</c:v>
                </c:pt>
                <c:pt idx="25" formatCode="0.0">
                  <c:v>6</c:v>
                </c:pt>
                <c:pt idx="26" formatCode="0.0">
                  <c:v>5.4</c:v>
                </c:pt>
                <c:pt idx="27" formatCode="0.0">
                  <c:v>5.3</c:v>
                </c:pt>
                <c:pt idx="28" formatCode="0.0">
                  <c:v>5.6</c:v>
                </c:pt>
                <c:pt idx="29" formatCode="0.0">
                  <c:v>3</c:v>
                </c:pt>
                <c:pt idx="30" formatCode="0.0">
                  <c:v>3.1</c:v>
                </c:pt>
              </c:numCache>
            </c:numRef>
          </c:val>
          <c:smooth val="1"/>
        </c:ser>
        <c:ser>
          <c:idx val="3"/>
          <c:order val="2"/>
          <c:tx>
            <c:strRef>
              <c:f>Tal!$AS$13</c:f>
              <c:strCache>
                <c:ptCount val="1"/>
                <c:pt idx="0">
                  <c:v>årlig lønstigning (DA), arbejdere i fremstilling</c:v>
                </c:pt>
              </c:strCache>
            </c:strRef>
          </c:tx>
          <c:spPr>
            <a:ln w="38100">
              <a:solidFill>
                <a:srgbClr val="00B050"/>
              </a:solidFill>
            </a:ln>
          </c:spPr>
          <c:marker>
            <c:symbol val="none"/>
          </c:marker>
          <c:val>
            <c:numRef>
              <c:f>Tal!$N$13:$AR$13</c:f>
              <c:numCache>
                <c:formatCode>General</c:formatCode>
                <c:ptCount val="31"/>
                <c:pt idx="9" formatCode="0.0">
                  <c:v>4.2</c:v>
                </c:pt>
                <c:pt idx="10" formatCode="0.0">
                  <c:v>3.1</c:v>
                </c:pt>
                <c:pt idx="11" formatCode="0.0">
                  <c:v>2.7</c:v>
                </c:pt>
                <c:pt idx="12" formatCode="0.0">
                  <c:v>3.1</c:v>
                </c:pt>
                <c:pt idx="13" formatCode="0.0">
                  <c:v>2.2000000000000002</c:v>
                </c:pt>
                <c:pt idx="14" formatCode="0.0">
                  <c:v>2.9</c:v>
                </c:pt>
                <c:pt idx="15" formatCode="0.0">
                  <c:v>2.8</c:v>
                </c:pt>
                <c:pt idx="16" formatCode="0.0">
                  <c:v>2.7</c:v>
                </c:pt>
                <c:pt idx="17" formatCode="0.0">
                  <c:v>3.3</c:v>
                </c:pt>
                <c:pt idx="18" formatCode="0.0">
                  <c:v>3</c:v>
                </c:pt>
                <c:pt idx="19" formatCode="0.0">
                  <c:v>3.3</c:v>
                </c:pt>
                <c:pt idx="20" formatCode="0.0">
                  <c:v>3.6</c:v>
                </c:pt>
                <c:pt idx="21" formatCode="0.0">
                  <c:v>3.9</c:v>
                </c:pt>
                <c:pt idx="22" formatCode="0.0">
                  <c:v>4.8</c:v>
                </c:pt>
                <c:pt idx="23" formatCode="0.0">
                  <c:v>4.8</c:v>
                </c:pt>
                <c:pt idx="24" formatCode="0.0">
                  <c:v>4.5</c:v>
                </c:pt>
                <c:pt idx="25" formatCode="0.0">
                  <c:v>5.0999999999999996</c:v>
                </c:pt>
                <c:pt idx="26" formatCode="0.0">
                  <c:v>3.7</c:v>
                </c:pt>
                <c:pt idx="27" formatCode="0.0">
                  <c:v>3.4</c:v>
                </c:pt>
                <c:pt idx="28" formatCode="0.0">
                  <c:v>3.3</c:v>
                </c:pt>
                <c:pt idx="29" formatCode="0.0">
                  <c:v>1.6</c:v>
                </c:pt>
                <c:pt idx="30" formatCode="0.0">
                  <c:v>2.1</c:v>
                </c:pt>
              </c:numCache>
            </c:numRef>
          </c:val>
          <c:smooth val="1"/>
        </c:ser>
        <c:ser>
          <c:idx val="0"/>
          <c:order val="3"/>
          <c:tx>
            <c:v>Inflation</c:v>
          </c:tx>
          <c:spPr>
            <a:ln w="38100">
              <a:solidFill>
                <a:srgbClr val="7030A0"/>
              </a:solidFill>
              <a:prstDash val="solid"/>
            </a:ln>
          </c:spPr>
          <c:marker>
            <c:symbol val="none"/>
          </c:marker>
          <c:cat>
            <c:strRef>
              <c:f>Tal!$N$2:$AQ$2</c:f>
              <c:strCache>
                <c:ptCount val="30"/>
                <c:pt idx="0">
                  <c:v>2002K1</c:v>
                </c:pt>
                <c:pt idx="1">
                  <c:v>2002K2</c:v>
                </c:pt>
                <c:pt idx="2">
                  <c:v>2002K3</c:v>
                </c:pt>
                <c:pt idx="3">
                  <c:v>2002K4</c:v>
                </c:pt>
                <c:pt idx="4">
                  <c:v>2003K1</c:v>
                </c:pt>
                <c:pt idx="5">
                  <c:v>2003K2</c:v>
                </c:pt>
                <c:pt idx="6">
                  <c:v>2003K3</c:v>
                </c:pt>
                <c:pt idx="7">
                  <c:v>2003K4</c:v>
                </c:pt>
                <c:pt idx="8">
                  <c:v>2004K1</c:v>
                </c:pt>
                <c:pt idx="9">
                  <c:v>2004K2</c:v>
                </c:pt>
                <c:pt idx="10">
                  <c:v>2004K3</c:v>
                </c:pt>
                <c:pt idx="11">
                  <c:v>2004K4</c:v>
                </c:pt>
                <c:pt idx="12">
                  <c:v>2005K1</c:v>
                </c:pt>
                <c:pt idx="13">
                  <c:v>2005K2</c:v>
                </c:pt>
                <c:pt idx="14">
                  <c:v>2005K3</c:v>
                </c:pt>
                <c:pt idx="15">
                  <c:v>2005K4</c:v>
                </c:pt>
                <c:pt idx="16">
                  <c:v>2006K1</c:v>
                </c:pt>
                <c:pt idx="17">
                  <c:v>2006K2</c:v>
                </c:pt>
                <c:pt idx="18">
                  <c:v>2006K3</c:v>
                </c:pt>
                <c:pt idx="19">
                  <c:v>2006K4</c:v>
                </c:pt>
                <c:pt idx="20">
                  <c:v>2007K1</c:v>
                </c:pt>
                <c:pt idx="21">
                  <c:v>2007K2</c:v>
                </c:pt>
                <c:pt idx="22">
                  <c:v>2007K3</c:v>
                </c:pt>
                <c:pt idx="23">
                  <c:v>2007K4</c:v>
                </c:pt>
                <c:pt idx="24">
                  <c:v>2008K1</c:v>
                </c:pt>
                <c:pt idx="25">
                  <c:v>2008K2</c:v>
                </c:pt>
                <c:pt idx="26">
                  <c:v>2008K3</c:v>
                </c:pt>
                <c:pt idx="27">
                  <c:v>2008K4</c:v>
                </c:pt>
                <c:pt idx="28">
                  <c:v>2009K1</c:v>
                </c:pt>
                <c:pt idx="29">
                  <c:v>2009K2</c:v>
                </c:pt>
              </c:strCache>
            </c:strRef>
          </c:cat>
          <c:val>
            <c:numRef>
              <c:f>Tal!$N$18:$AR$18</c:f>
              <c:numCache>
                <c:formatCode>0.0</c:formatCode>
                <c:ptCount val="31"/>
                <c:pt idx="0">
                  <c:v>2.5333333333333332</c:v>
                </c:pt>
                <c:pt idx="1">
                  <c:v>2.2333333333333352</c:v>
                </c:pt>
                <c:pt idx="2">
                  <c:v>2.2999999999999998</c:v>
                </c:pt>
                <c:pt idx="3">
                  <c:v>2.5666666666666669</c:v>
                </c:pt>
                <c:pt idx="4">
                  <c:v>2.8</c:v>
                </c:pt>
                <c:pt idx="5">
                  <c:v>2.2999999999999998</c:v>
                </c:pt>
                <c:pt idx="6">
                  <c:v>1.8333333333333333</c:v>
                </c:pt>
                <c:pt idx="7">
                  <c:v>1.4333333333333325</c:v>
                </c:pt>
                <c:pt idx="8">
                  <c:v>0.9</c:v>
                </c:pt>
                <c:pt idx="9">
                  <c:v>1.0666666666666667</c:v>
                </c:pt>
                <c:pt idx="10">
                  <c:v>1.2</c:v>
                </c:pt>
                <c:pt idx="11">
                  <c:v>1.4</c:v>
                </c:pt>
                <c:pt idx="12">
                  <c:v>1.2333333333333332</c:v>
                </c:pt>
                <c:pt idx="13">
                  <c:v>1.7</c:v>
                </c:pt>
                <c:pt idx="14">
                  <c:v>2.2000000000000002</c:v>
                </c:pt>
                <c:pt idx="15">
                  <c:v>2.0666666666666669</c:v>
                </c:pt>
                <c:pt idx="16">
                  <c:v>2.0333333333333332</c:v>
                </c:pt>
                <c:pt idx="17">
                  <c:v>2</c:v>
                </c:pt>
                <c:pt idx="18">
                  <c:v>1.8333333333333333</c:v>
                </c:pt>
                <c:pt idx="19">
                  <c:v>1.6666666666666667</c:v>
                </c:pt>
                <c:pt idx="20">
                  <c:v>1.9000000000000001</c:v>
                </c:pt>
                <c:pt idx="21">
                  <c:v>1.6333333333333335</c:v>
                </c:pt>
                <c:pt idx="22">
                  <c:v>1.1666666666666667</c:v>
                </c:pt>
                <c:pt idx="23">
                  <c:v>2.1666666666666665</c:v>
                </c:pt>
                <c:pt idx="24">
                  <c:v>3</c:v>
                </c:pt>
                <c:pt idx="25">
                  <c:v>3.4666666666666663</c:v>
                </c:pt>
                <c:pt idx="26">
                  <c:v>4.2</c:v>
                </c:pt>
                <c:pt idx="27">
                  <c:v>2.9</c:v>
                </c:pt>
                <c:pt idx="28">
                  <c:v>1.8</c:v>
                </c:pt>
                <c:pt idx="29">
                  <c:v>1.3</c:v>
                </c:pt>
                <c:pt idx="30">
                  <c:v>1</c:v>
                </c:pt>
              </c:numCache>
            </c:numRef>
          </c:val>
          <c:smooth val="1"/>
        </c:ser>
        <c:marker val="1"/>
        <c:axId val="116759168"/>
        <c:axId val="116769152"/>
      </c:lineChart>
      <c:catAx>
        <c:axId val="116759168"/>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16769152"/>
        <c:crossesAt val="0"/>
        <c:lblAlgn val="ctr"/>
        <c:lblOffset val="100"/>
        <c:tickLblSkip val="4"/>
        <c:tickMarkSkip val="1"/>
      </c:catAx>
      <c:valAx>
        <c:axId val="116769152"/>
        <c:scaling>
          <c:orientation val="minMax"/>
          <c:max val="6.5"/>
          <c:min val="-1"/>
        </c:scaling>
        <c:axPos val="l"/>
        <c:majorGridlines>
          <c:spPr>
            <a:ln w="3175">
              <a:solidFill>
                <a:srgbClr val="000000"/>
              </a:solidFill>
              <a:prstDash val="solid"/>
            </a:ln>
          </c:spPr>
        </c:majorGridlines>
        <c:title>
          <c:tx>
            <c:rich>
              <a:bodyPr rot="0" vert="horz"/>
              <a:lstStyle/>
              <a:p>
                <a:pPr>
                  <a:defRPr sz="1000" b="0" i="0" u="none" strike="noStrike" baseline="0">
                    <a:solidFill>
                      <a:srgbClr val="000000"/>
                    </a:solidFill>
                    <a:latin typeface="Arial"/>
                    <a:ea typeface="Arial"/>
                    <a:cs typeface="Arial"/>
                  </a:defRPr>
                </a:pPr>
                <a:r>
                  <a:rPr lang="da-DK" sz="1000" b="0"/>
                  <a:t>Årlig stigning i %</a:t>
                </a:r>
              </a:p>
            </c:rich>
          </c:tx>
          <c:layout>
            <c:manualLayout>
              <c:xMode val="edge"/>
              <c:yMode val="edge"/>
              <c:x val="1.0498687664042003E-3"/>
              <c:y val="2.1733886317645411E-2"/>
            </c:manualLayout>
          </c:layout>
          <c:spPr>
            <a:noFill/>
            <a:ln w="25400">
              <a:noFill/>
            </a:ln>
          </c:spPr>
        </c:title>
        <c:numFmt formatCode="0" sourceLinked="0"/>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16759168"/>
        <c:crosses val="autoZero"/>
        <c:crossBetween val="between"/>
        <c:majorUnit val="1"/>
        <c:minorUnit val="0.5"/>
      </c:valAx>
      <c:spPr>
        <a:noFill/>
        <a:ln w="12700">
          <a:solidFill>
            <a:srgbClr val="808080"/>
          </a:solidFill>
          <a:prstDash val="solid"/>
        </a:ln>
      </c:spPr>
    </c:plotArea>
    <c:legend>
      <c:legendPos val="r"/>
      <c:layout>
        <c:manualLayout>
          <c:xMode val="edge"/>
          <c:yMode val="edge"/>
          <c:x val="0.17959324370906624"/>
          <c:y val="9.2498589960518643E-2"/>
          <c:w val="0.42109594965402058"/>
          <c:h val="0.14598682778865837"/>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da-DK"/>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da-DK"/>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chart>
    <c:autoTitleDeleted val="1"/>
    <c:plotArea>
      <c:layout/>
      <c:lineChart>
        <c:grouping val="standard"/>
        <c:ser>
          <c:idx val="0"/>
          <c:order val="0"/>
          <c:tx>
            <c:strRef>
              <c:f>'[20101151216664732007BYG44182422539.xls]20101151216664732007BYG44182422'!$C$6</c:f>
              <c:strCache>
                <c:ptCount val="1"/>
                <c:pt idx="0">
                  <c:v>Bygge og anlæg</c:v>
                </c:pt>
              </c:strCache>
            </c:strRef>
          </c:tx>
          <c:marker>
            <c:symbol val="none"/>
          </c:marker>
          <c:cat>
            <c:strRef>
              <c:f>'[20101151216664732007BYG44182422539.xls]20101151216664732007BYG44182422'!$D$5:$AQ$5</c:f>
              <c:strCache>
                <c:ptCount val="40"/>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strCache>
            </c:strRef>
          </c:cat>
          <c:val>
            <c:numRef>
              <c:f>'[20101151216664732007BYG44182422539.xls]20101151216664732007BYG44182422'!$D$6:$AQ$6</c:f>
              <c:numCache>
                <c:formatCode>General</c:formatCode>
                <c:ptCount val="40"/>
                <c:pt idx="0">
                  <c:v>165793</c:v>
                </c:pt>
                <c:pt idx="1">
                  <c:v>166603</c:v>
                </c:pt>
                <c:pt idx="2">
                  <c:v>165673</c:v>
                </c:pt>
                <c:pt idx="3">
                  <c:v>164890</c:v>
                </c:pt>
                <c:pt idx="4">
                  <c:v>163914</c:v>
                </c:pt>
                <c:pt idx="5">
                  <c:v>163697</c:v>
                </c:pt>
                <c:pt idx="6">
                  <c:v>164359</c:v>
                </c:pt>
                <c:pt idx="7">
                  <c:v>162280</c:v>
                </c:pt>
                <c:pt idx="8">
                  <c:v>162322</c:v>
                </c:pt>
                <c:pt idx="9">
                  <c:v>161293</c:v>
                </c:pt>
                <c:pt idx="10">
                  <c:v>159778</c:v>
                </c:pt>
                <c:pt idx="11">
                  <c:v>157770</c:v>
                </c:pt>
                <c:pt idx="12">
                  <c:v>157500</c:v>
                </c:pt>
                <c:pt idx="13">
                  <c:v>154030</c:v>
                </c:pt>
                <c:pt idx="14">
                  <c:v>152633</c:v>
                </c:pt>
                <c:pt idx="15">
                  <c:v>153756</c:v>
                </c:pt>
                <c:pt idx="16">
                  <c:v>152530</c:v>
                </c:pt>
                <c:pt idx="17">
                  <c:v>155082</c:v>
                </c:pt>
                <c:pt idx="18">
                  <c:v>154847</c:v>
                </c:pt>
                <c:pt idx="19">
                  <c:v>155291</c:v>
                </c:pt>
                <c:pt idx="20">
                  <c:v>159276</c:v>
                </c:pt>
                <c:pt idx="21">
                  <c:v>160776</c:v>
                </c:pt>
                <c:pt idx="22">
                  <c:v>161973</c:v>
                </c:pt>
                <c:pt idx="23">
                  <c:v>164040</c:v>
                </c:pt>
                <c:pt idx="24">
                  <c:v>156178</c:v>
                </c:pt>
                <c:pt idx="25">
                  <c:v>173452</c:v>
                </c:pt>
                <c:pt idx="26">
                  <c:v>180584</c:v>
                </c:pt>
                <c:pt idx="27">
                  <c:v>172581</c:v>
                </c:pt>
                <c:pt idx="28">
                  <c:v>181832</c:v>
                </c:pt>
                <c:pt idx="29">
                  <c:v>182081</c:v>
                </c:pt>
                <c:pt idx="30">
                  <c:v>178889</c:v>
                </c:pt>
                <c:pt idx="31">
                  <c:v>180526</c:v>
                </c:pt>
                <c:pt idx="32">
                  <c:v>177889</c:v>
                </c:pt>
                <c:pt idx="33">
                  <c:v>174608</c:v>
                </c:pt>
                <c:pt idx="34">
                  <c:v>173381</c:v>
                </c:pt>
                <c:pt idx="35">
                  <c:v>170254</c:v>
                </c:pt>
                <c:pt idx="36">
                  <c:v>166570</c:v>
                </c:pt>
                <c:pt idx="37">
                  <c:v>147206</c:v>
                </c:pt>
                <c:pt idx="38">
                  <c:v>144774</c:v>
                </c:pt>
                <c:pt idx="39">
                  <c:v>134587</c:v>
                </c:pt>
              </c:numCache>
            </c:numRef>
          </c:val>
        </c:ser>
        <c:marker val="1"/>
        <c:axId val="116771456"/>
        <c:axId val="116780032"/>
      </c:lineChart>
      <c:catAx>
        <c:axId val="116771456"/>
        <c:scaling>
          <c:orientation val="minMax"/>
        </c:scaling>
        <c:axPos val="b"/>
        <c:tickLblPos val="nextTo"/>
        <c:txPr>
          <a:bodyPr/>
          <a:lstStyle/>
          <a:p>
            <a:pPr>
              <a:defRPr sz="1000"/>
            </a:pPr>
            <a:endParaRPr lang="da-DK"/>
          </a:p>
        </c:txPr>
        <c:crossAx val="116780032"/>
        <c:crosses val="autoZero"/>
        <c:auto val="1"/>
        <c:lblAlgn val="ctr"/>
        <c:lblOffset val="100"/>
      </c:catAx>
      <c:valAx>
        <c:axId val="116780032"/>
        <c:scaling>
          <c:orientation val="minMax"/>
          <c:max val="190000"/>
          <c:min val="130000"/>
        </c:scaling>
        <c:axPos val="l"/>
        <c:majorGridlines/>
        <c:numFmt formatCode="General" sourceLinked="1"/>
        <c:tickLblPos val="nextTo"/>
        <c:txPr>
          <a:bodyPr/>
          <a:lstStyle/>
          <a:p>
            <a:pPr>
              <a:defRPr sz="1100"/>
            </a:pPr>
            <a:endParaRPr lang="da-DK"/>
          </a:p>
        </c:txPr>
        <c:crossAx val="116771456"/>
        <c:crosses val="autoZero"/>
        <c:crossBetween val="between"/>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0.10784</cdr:x>
      <cdr:y>0.1643</cdr:y>
    </cdr:from>
    <cdr:to>
      <cdr:x>0.20034</cdr:x>
      <cdr:y>0.20255</cdr:y>
    </cdr:to>
    <cdr:sp macro="" textlink="">
      <cdr:nvSpPr>
        <cdr:cNvPr id="6145" name="Text Box 1"/>
        <cdr:cNvSpPr txBox="1">
          <a:spLocks xmlns:a="http://schemas.openxmlformats.org/drawingml/2006/main" noChangeArrowheads="1"/>
        </cdr:cNvSpPr>
      </cdr:nvSpPr>
      <cdr:spPr bwMode="auto">
        <a:xfrm xmlns:a="http://schemas.openxmlformats.org/drawingml/2006/main">
          <a:off x="993277" y="923346"/>
          <a:ext cx="851987" cy="2149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0.319</cdr:x>
      <cdr:y>0.163</cdr:y>
    </cdr:from>
    <cdr:to>
      <cdr:x>0.42625</cdr:x>
      <cdr:y>0.2115</cdr:y>
    </cdr:to>
    <cdr:sp macro="" textlink="">
      <cdr:nvSpPr>
        <cdr:cNvPr id="6146" name="Text Box 2"/>
        <cdr:cNvSpPr txBox="1">
          <a:spLocks xmlns:a="http://schemas.openxmlformats.org/drawingml/2006/main" noChangeArrowheads="1"/>
        </cdr:cNvSpPr>
      </cdr:nvSpPr>
      <cdr:spPr bwMode="auto">
        <a:xfrm xmlns:a="http://schemas.openxmlformats.org/drawingml/2006/main">
          <a:off x="2938205" y="917572"/>
          <a:ext cx="987845" cy="2730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0.4455</cdr:x>
      <cdr:y>0.21825</cdr:y>
    </cdr:from>
    <cdr:to>
      <cdr:x>0.614</cdr:x>
      <cdr:y>0.27125</cdr:y>
    </cdr:to>
    <cdr:sp macro="" textlink="">
      <cdr:nvSpPr>
        <cdr:cNvPr id="6147" name="Text Box 3"/>
        <cdr:cNvSpPr txBox="1">
          <a:spLocks xmlns:a="http://schemas.openxmlformats.org/drawingml/2006/main" noChangeArrowheads="1"/>
        </cdr:cNvSpPr>
      </cdr:nvSpPr>
      <cdr:spPr bwMode="auto">
        <a:xfrm xmlns:a="http://schemas.openxmlformats.org/drawingml/2006/main">
          <a:off x="4103356" y="1228589"/>
          <a:ext cx="1551998" cy="2983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0.61325</cdr:x>
      <cdr:y>0.36075</cdr:y>
    </cdr:from>
    <cdr:to>
      <cdr:x>0.61526</cdr:x>
      <cdr:y>0.3955</cdr:y>
    </cdr:to>
    <cdr:sp macro="" textlink="">
      <cdr:nvSpPr>
        <cdr:cNvPr id="6148" name="Text Box 4"/>
        <cdr:cNvSpPr txBox="1">
          <a:spLocks xmlns:a="http://schemas.openxmlformats.org/drawingml/2006/main" noChangeArrowheads="1"/>
        </cdr:cNvSpPr>
      </cdr:nvSpPr>
      <cdr:spPr bwMode="auto">
        <a:xfrm xmlns:a="http://schemas.openxmlformats.org/drawingml/2006/main">
          <a:off x="5648446" y="2027325"/>
          <a:ext cx="18531" cy="1953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da-DK"/>
        </a:p>
      </cdr:txBody>
    </cdr:sp>
  </cdr:relSizeAnchor>
  <cdr:relSizeAnchor xmlns:cdr="http://schemas.openxmlformats.org/drawingml/2006/chartDrawing">
    <cdr:from>
      <cdr:x>0.7735</cdr:x>
      <cdr:y>0.47925</cdr:y>
    </cdr:from>
    <cdr:to>
      <cdr:x>0.889</cdr:x>
      <cdr:y>0.51625</cdr:y>
    </cdr:to>
    <cdr:sp macro="" textlink="">
      <cdr:nvSpPr>
        <cdr:cNvPr id="6157" name="Text Box 13"/>
        <cdr:cNvSpPr txBox="1">
          <a:spLocks xmlns:a="http://schemas.openxmlformats.org/drawingml/2006/main" noChangeArrowheads="1"/>
        </cdr:cNvSpPr>
      </cdr:nvSpPr>
      <cdr:spPr bwMode="auto">
        <a:xfrm xmlns:a="http://schemas.openxmlformats.org/drawingml/2006/main">
          <a:off x="7124457" y="2697830"/>
          <a:ext cx="1063833" cy="20828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0.08955</cdr:x>
      <cdr:y>0.70852</cdr:y>
    </cdr:from>
    <cdr:to>
      <cdr:x>0.8233</cdr:x>
      <cdr:y>0.76528</cdr:y>
    </cdr:to>
    <cdr:sp macro="" textlink="">
      <cdr:nvSpPr>
        <cdr:cNvPr id="6159" name="Text Box 15"/>
        <cdr:cNvSpPr txBox="1">
          <a:spLocks xmlns:a="http://schemas.openxmlformats.org/drawingml/2006/main" noChangeArrowheads="1"/>
        </cdr:cNvSpPr>
      </cdr:nvSpPr>
      <cdr:spPr bwMode="auto">
        <a:xfrm xmlns:a="http://schemas.openxmlformats.org/drawingml/2006/main">
          <a:off x="548053" y="2645567"/>
          <a:ext cx="4490672" cy="21193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da-DK" sz="1000" b="0" i="1" strike="noStrike">
              <a:solidFill>
                <a:srgbClr val="000000"/>
              </a:solidFill>
              <a:latin typeface="Arial"/>
              <a:cs typeface="Arial"/>
            </a:rPr>
            <a:t>Kilde: Ugentlige ledighedsindberetninger fra de 8 byggefagforbund under BAT</a:t>
          </a:r>
        </a:p>
      </cdr:txBody>
    </cdr:sp>
  </cdr:relSizeAnchor>
  <cdr:relSizeAnchor xmlns:cdr="http://schemas.openxmlformats.org/drawingml/2006/chartDrawing">
    <cdr:from>
      <cdr:x>0.8275</cdr:x>
      <cdr:y>0.593</cdr:y>
    </cdr:from>
    <cdr:to>
      <cdr:x>0.9165</cdr:x>
      <cdr:y>0.627</cdr:y>
    </cdr:to>
    <cdr:sp macro="" textlink="">
      <cdr:nvSpPr>
        <cdr:cNvPr id="6160" name="Text Box 16"/>
        <cdr:cNvSpPr txBox="1">
          <a:spLocks xmlns:a="http://schemas.openxmlformats.org/drawingml/2006/main" noChangeArrowheads="1"/>
        </cdr:cNvSpPr>
      </cdr:nvSpPr>
      <cdr:spPr bwMode="auto">
        <a:xfrm xmlns:a="http://schemas.openxmlformats.org/drawingml/2006/main">
          <a:off x="7621834" y="3338160"/>
          <a:ext cx="819750" cy="191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userShapes>
</file>

<file path=word/drawings/drawing2.xml><?xml version="1.0" encoding="utf-8"?>
<c:userShapes xmlns:c="http://schemas.openxmlformats.org/drawingml/2006/chart">
  <cdr:relSizeAnchor xmlns:cdr="http://schemas.openxmlformats.org/drawingml/2006/chartDrawing">
    <cdr:from>
      <cdr:x>0.06308</cdr:x>
      <cdr:y>0.8855</cdr:y>
    </cdr:from>
    <cdr:to>
      <cdr:x>0.79545</cdr:x>
      <cdr:y>0.92555</cdr:y>
    </cdr:to>
    <cdr:sp macro="" textlink="">
      <cdr:nvSpPr>
        <cdr:cNvPr id="35841" name="Text Box 1"/>
        <cdr:cNvSpPr txBox="1">
          <a:spLocks xmlns:a="http://schemas.openxmlformats.org/drawingml/2006/main" noChangeArrowheads="1"/>
        </cdr:cNvSpPr>
      </cdr:nvSpPr>
      <cdr:spPr bwMode="auto">
        <a:xfrm xmlns:a="http://schemas.openxmlformats.org/drawingml/2006/main">
          <a:off x="422986" y="3314700"/>
          <a:ext cx="4911014" cy="14992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da-DK" sz="1000" b="0" i="1" strike="noStrike">
              <a:solidFill>
                <a:srgbClr val="000000"/>
              </a:solidFill>
              <a:latin typeface="Arial"/>
              <a:cs typeface="Arial"/>
            </a:rPr>
            <a:t>Kilde: Danmarks Statistik, www.statistikbanken.dk samt DA-lønstatistik, www.da.dk</a:t>
          </a:r>
        </a:p>
        <a:p xmlns:a="http://schemas.openxmlformats.org/drawingml/2006/main">
          <a:pPr algn="l" rtl="0">
            <a:defRPr sz="1000"/>
          </a:pPr>
          <a:endParaRPr lang="da-DK" sz="1000" b="0" i="1" strike="noStrike">
            <a:solidFill>
              <a:srgbClr val="000000"/>
            </a:solidFill>
            <a:latin typeface="Arial"/>
            <a:cs typeface="Arial"/>
          </a:endParaRP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FD66-F6A0-4BEB-91E3-73364DB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Pages>
  <Words>814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3F</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cv4444</dc:creator>
  <cp:lastModifiedBy>cv4444</cp:lastModifiedBy>
  <cp:revision>12</cp:revision>
  <cp:lastPrinted>2010-01-14T07:34:00Z</cp:lastPrinted>
  <dcterms:created xsi:type="dcterms:W3CDTF">2010-01-12T09:10:00Z</dcterms:created>
  <dcterms:modified xsi:type="dcterms:W3CDTF">2011-01-07T10:44:00Z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1468540942</vt:i4>
  </property>
  <property fmtid="{D5CDD505-2E9C-101B-9397-08002B2CF9AE}" pid="3" name="_NewReviewCycle">
    <vt:lpwstr/>
  </property>
  <property fmtid="{D5CDD505-2E9C-101B-9397-08002B2CF9AE}" pid="4" name="_EmailSubject">
    <vt:lpwstr>Hjemmeside BAT </vt:lpwstr>
  </property>
  <property fmtid="{D5CDD505-2E9C-101B-9397-08002B2CF9AE}" pid="5" name="_AuthorEmail">
    <vt:lpwstr>camilla.vakgaard@batkartellet.dk</vt:lpwstr>
  </property>
  <property fmtid="{D5CDD505-2E9C-101B-9397-08002B2CF9AE}" pid="6" name="_AuthorEmailDisplayName">
    <vt:lpwstr>Camilla Vakgaard,  BAT Kartellet</vt:lpwstr>
  </property>
</Properties>
</file>